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55E0" w14:textId="77777777" w:rsidR="005E660E" w:rsidRDefault="005E660E"/>
    <w:tbl>
      <w:tblPr>
        <w:tblStyle w:val="TableGrid"/>
        <w:tblpPr w:leftFromText="180" w:rightFromText="180" w:vertAnchor="text" w:horzAnchor="margin" w:tblpXSpec="center" w:tblpY="-935"/>
        <w:tblW w:w="10996" w:type="dxa"/>
        <w:tblLook w:val="04A0" w:firstRow="1" w:lastRow="0" w:firstColumn="1" w:lastColumn="0" w:noHBand="0" w:noVBand="1"/>
      </w:tblPr>
      <w:tblGrid>
        <w:gridCol w:w="10996"/>
      </w:tblGrid>
      <w:tr w:rsidR="006C0A13" w:rsidRPr="006C0A13" w14:paraId="50141046" w14:textId="77777777" w:rsidTr="006C0A13">
        <w:trPr>
          <w:trHeight w:val="605"/>
        </w:trPr>
        <w:tc>
          <w:tcPr>
            <w:tcW w:w="10996" w:type="dxa"/>
            <w:tcBorders>
              <w:top w:val="nil"/>
              <w:left w:val="nil"/>
              <w:bottom w:val="nil"/>
              <w:right w:val="nil"/>
            </w:tcBorders>
            <w:shd w:val="clear" w:color="auto" w:fill="BFBFC1"/>
            <w:vAlign w:val="center"/>
          </w:tcPr>
          <w:p w14:paraId="14C6A505" w14:textId="0F1C49E8" w:rsidR="005E660E" w:rsidRDefault="005E660E" w:rsidP="006C0A13">
            <w:pPr>
              <w:spacing w:line="264" w:lineRule="auto"/>
              <w:jc w:val="center"/>
              <w:rPr>
                <w:rFonts w:ascii="Tw Cen MT Condensed Extra Bold" w:eastAsia="Tw Cen MT" w:hAnsi="Tw Cen MT Condensed Extra Bold" w:cs="Arial"/>
                <w:sz w:val="32"/>
              </w:rPr>
            </w:pPr>
            <w:r>
              <w:rPr>
                <w:rFonts w:ascii="Tw Cen MT Condensed Extra Bold" w:eastAsia="Tw Cen MT" w:hAnsi="Tw Cen MT Condensed Extra Bold" w:cs="Arial"/>
                <w:noProof/>
                <w:sz w:val="32"/>
              </w:rPr>
              <w:drawing>
                <wp:inline distT="0" distB="0" distL="0" distR="0" wp14:anchorId="78BF97A6" wp14:editId="56437AA4">
                  <wp:extent cx="762000" cy="871855"/>
                  <wp:effectExtent l="0" t="0" r="0" b="4445"/>
                  <wp:docPr id="1" name="Picture 1" descr="stop sign with circles and &quot;x&quot; mark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1855"/>
                          </a:xfrm>
                          <a:prstGeom prst="rect">
                            <a:avLst/>
                          </a:prstGeom>
                          <a:noFill/>
                        </pic:spPr>
                      </pic:pic>
                    </a:graphicData>
                  </a:graphic>
                </wp:inline>
              </w:drawing>
            </w:r>
          </w:p>
          <w:p w14:paraId="5491059A" w14:textId="7FEBD13A" w:rsidR="006C0A13" w:rsidRPr="006C0A13" w:rsidRDefault="006C0A13" w:rsidP="006C0A13">
            <w:pPr>
              <w:spacing w:line="264" w:lineRule="auto"/>
              <w:jc w:val="center"/>
              <w:rPr>
                <w:rFonts w:ascii="Tw Cen MT Condensed Extra Bold" w:eastAsia="Tw Cen MT" w:hAnsi="Tw Cen MT Condensed Extra Bold" w:cs="Arial"/>
                <w:sz w:val="32"/>
              </w:rPr>
            </w:pPr>
            <w:r w:rsidRPr="006C0A13">
              <w:rPr>
                <w:rFonts w:ascii="Tw Cen MT Condensed Extra Bold" w:eastAsia="Tw Cen MT" w:hAnsi="Tw Cen MT Condensed Extra Bold" w:cs="Arial"/>
                <w:sz w:val="32"/>
              </w:rPr>
              <w:t>Activity 6.26 – Quiz</w:t>
            </w:r>
          </w:p>
          <w:p w14:paraId="5A90C959" w14:textId="77777777" w:rsidR="006C0A13" w:rsidRPr="006C0A13" w:rsidRDefault="006C0A13" w:rsidP="006C0A13">
            <w:pPr>
              <w:spacing w:line="264" w:lineRule="auto"/>
              <w:jc w:val="center"/>
              <w:rPr>
                <w:rFonts w:ascii="Tw Cen MT" w:eastAsia="Tw Cen MT" w:hAnsi="Tw Cen MT" w:cs="Arial"/>
                <w:i/>
                <w:sz w:val="32"/>
              </w:rPr>
            </w:pPr>
            <w:r w:rsidRPr="006C0A13">
              <w:rPr>
                <w:rFonts w:ascii="Tw Cen MT" w:eastAsia="Tw Cen MT" w:hAnsi="Tw Cen MT" w:cs="Arial"/>
                <w:i/>
                <w:sz w:val="32"/>
              </w:rPr>
              <w:t>Module 6 Part 2 Quiz</w:t>
            </w:r>
          </w:p>
          <w:p w14:paraId="7F894474" w14:textId="77777777" w:rsidR="006C0A13" w:rsidRPr="006C0A13" w:rsidRDefault="006C0A13" w:rsidP="006C0A13">
            <w:pPr>
              <w:spacing w:line="264" w:lineRule="auto"/>
              <w:jc w:val="center"/>
              <w:rPr>
                <w:rFonts w:ascii="Tw Cen MT Condensed Extra Bold" w:eastAsia="Tw Cen MT" w:hAnsi="Tw Cen MT Condensed Extra Bold" w:cs="Arial"/>
                <w:color w:val="FFFFFF"/>
                <w:sz w:val="32"/>
                <w:highlight w:val="lightGray"/>
              </w:rPr>
            </w:pPr>
            <w:r w:rsidRPr="006C0A13">
              <w:rPr>
                <w:rFonts w:ascii="Tw Cen MT" w:eastAsia="Tw Cen MT" w:hAnsi="Tw Cen MT" w:cs="Arial"/>
                <w:sz w:val="32"/>
              </w:rPr>
              <w:t>Online</w:t>
            </w:r>
          </w:p>
        </w:tc>
      </w:tr>
    </w:tbl>
    <w:p w14:paraId="5BAA87E3" w14:textId="23B5698A" w:rsidR="006C0A13" w:rsidRPr="006C0A13" w:rsidRDefault="006C0A13" w:rsidP="006C0A13">
      <w:pPr>
        <w:spacing w:after="0" w:line="240" w:lineRule="auto"/>
        <w:contextualSpacing/>
        <w:rPr>
          <w:rFonts w:ascii="Tw Cen MT" w:eastAsia="Tw Cen MT" w:hAnsi="Tw Cen MT" w:cs="Times New Roman"/>
        </w:rPr>
      </w:pPr>
      <w:r w:rsidRPr="006C0A13">
        <w:rPr>
          <w:rFonts w:ascii="Tw Cen MT" w:eastAsia="Tw Cen MT" w:hAnsi="Tw Cen MT" w:cs="Times New Roman"/>
        </w:rPr>
        <w:t>Complete the Module 6 Part 5 Quiz to check your own understanding the module content. Once you’ve completed the quiz, you may view the Quiz Review video to learn the correct answers and hear an explanation for each question.</w:t>
      </w:r>
    </w:p>
    <w:p w14:paraId="382BE52F" w14:textId="77777777" w:rsidR="006C0A13" w:rsidRPr="006C0A13" w:rsidRDefault="006C0A13" w:rsidP="006C0A13">
      <w:pPr>
        <w:spacing w:line="259" w:lineRule="auto"/>
        <w:rPr>
          <w:rFonts w:ascii="Tw Cen MT" w:eastAsia="Tw Cen MT" w:hAnsi="Tw Cen MT" w:cs="Times New Roman"/>
        </w:rPr>
      </w:pPr>
    </w:p>
    <w:p w14:paraId="07040E20" w14:textId="77777777" w:rsidR="006C0A13" w:rsidRPr="006C0A13" w:rsidRDefault="006C0A13" w:rsidP="006C0A13">
      <w:pPr>
        <w:numPr>
          <w:ilvl w:val="0"/>
          <w:numId w:val="2"/>
        </w:numPr>
        <w:spacing w:after="0" w:line="240" w:lineRule="auto"/>
        <w:contextualSpacing/>
        <w:rPr>
          <w:rFonts w:ascii="Tw Cen MT" w:eastAsia="Tw Cen MT" w:hAnsi="Tw Cen MT" w:cs="Times New Roman"/>
        </w:rPr>
      </w:pPr>
      <w:r w:rsidRPr="006C0A13">
        <w:rPr>
          <w:rFonts w:ascii="Tw Cen MT" w:eastAsia="Tw Cen MT" w:hAnsi="Tw Cen MT" w:cs="Times New Roman"/>
          <w:b/>
          <w:bCs/>
        </w:rPr>
        <w:t xml:space="preserve">True or False: </w:t>
      </w:r>
      <w:r w:rsidRPr="006C0A13">
        <w:rPr>
          <w:rFonts w:ascii="Tw Cen MT" w:eastAsia="Tw Cen MT" w:hAnsi="Tw Cen MT" w:cs="Times New Roman"/>
        </w:rPr>
        <w:t>Choral response is always the most effective method for maximizing student engagement.</w:t>
      </w:r>
    </w:p>
    <w:p w14:paraId="419E9121" w14:textId="77777777" w:rsidR="006C0A13" w:rsidRPr="006C0A13" w:rsidRDefault="006C0A13" w:rsidP="006C0A13">
      <w:pPr>
        <w:spacing w:after="0" w:line="240" w:lineRule="auto"/>
        <w:ind w:left="720"/>
        <w:contextualSpacing/>
        <w:rPr>
          <w:rFonts w:ascii="Tw Cen MT" w:eastAsia="Tw Cen MT" w:hAnsi="Tw Cen MT" w:cs="Times New Roman"/>
        </w:rPr>
      </w:pPr>
    </w:p>
    <w:p w14:paraId="7B327EF8" w14:textId="77777777" w:rsidR="006C0A13" w:rsidRPr="006C0A13" w:rsidRDefault="006C0A13" w:rsidP="006C0A13">
      <w:pPr>
        <w:numPr>
          <w:ilvl w:val="0"/>
          <w:numId w:val="2"/>
        </w:numPr>
        <w:spacing w:after="0" w:line="240" w:lineRule="auto"/>
        <w:contextualSpacing/>
        <w:rPr>
          <w:rFonts w:ascii="Tw Cen MT" w:eastAsia="Tw Cen MT" w:hAnsi="Tw Cen MT" w:cs="Times New Roman"/>
        </w:rPr>
      </w:pPr>
      <w:r w:rsidRPr="006C0A13">
        <w:rPr>
          <w:rFonts w:ascii="Tw Cen MT" w:eastAsia="Tw Cen MT" w:hAnsi="Tw Cen MT" w:cs="Times New Roman"/>
        </w:rPr>
        <w:t xml:space="preserve">Methods for eliciting responses that typically involve all students include: </w:t>
      </w:r>
    </w:p>
    <w:p w14:paraId="5B3DE415" w14:textId="77777777" w:rsidR="006C0A13" w:rsidRPr="006C0A13" w:rsidRDefault="006C0A13" w:rsidP="006C0A13">
      <w:pPr>
        <w:numPr>
          <w:ilvl w:val="1"/>
          <w:numId w:val="2"/>
        </w:numPr>
        <w:spacing w:after="120" w:line="240" w:lineRule="auto"/>
        <w:contextualSpacing/>
        <w:rPr>
          <w:rFonts w:ascii="Tw Cen MT" w:eastAsia="Tw Cen MT" w:hAnsi="Tw Cen MT" w:cs="Times New Roman"/>
        </w:rPr>
      </w:pPr>
      <w:r w:rsidRPr="006C0A13">
        <w:rPr>
          <w:rFonts w:ascii="Tw Cen MT" w:eastAsia="Tw Cen MT" w:hAnsi="Tw Cen MT" w:cs="Times New Roman"/>
        </w:rPr>
        <w:t>Cold call</w:t>
      </w:r>
    </w:p>
    <w:p w14:paraId="7063DA5C" w14:textId="77777777" w:rsidR="006C0A13" w:rsidRPr="006C0A13" w:rsidRDefault="006C0A13" w:rsidP="006C0A13">
      <w:pPr>
        <w:numPr>
          <w:ilvl w:val="1"/>
          <w:numId w:val="2"/>
        </w:numPr>
        <w:spacing w:after="120" w:line="240" w:lineRule="auto"/>
        <w:contextualSpacing/>
        <w:rPr>
          <w:rFonts w:ascii="Tw Cen MT" w:eastAsia="Tw Cen MT" w:hAnsi="Tw Cen MT" w:cs="Times New Roman"/>
        </w:rPr>
      </w:pPr>
      <w:r w:rsidRPr="006C0A13">
        <w:rPr>
          <w:rFonts w:ascii="Tw Cen MT" w:eastAsia="Tw Cen MT" w:hAnsi="Tw Cen MT" w:cs="Times New Roman"/>
        </w:rPr>
        <w:t>Turn and talk</w:t>
      </w:r>
    </w:p>
    <w:p w14:paraId="41BCE85E" w14:textId="77777777" w:rsidR="006C0A13" w:rsidRPr="006C0A13" w:rsidRDefault="006C0A13" w:rsidP="006C0A13">
      <w:pPr>
        <w:numPr>
          <w:ilvl w:val="1"/>
          <w:numId w:val="2"/>
        </w:numPr>
        <w:spacing w:after="120" w:line="240" w:lineRule="auto"/>
        <w:contextualSpacing/>
        <w:rPr>
          <w:rFonts w:ascii="Tw Cen MT" w:eastAsia="Tw Cen MT" w:hAnsi="Tw Cen MT" w:cs="Times New Roman"/>
        </w:rPr>
      </w:pPr>
      <w:r w:rsidRPr="006C0A13">
        <w:rPr>
          <w:rFonts w:ascii="Tw Cen MT" w:eastAsia="Tw Cen MT" w:hAnsi="Tw Cen MT" w:cs="Times New Roman"/>
        </w:rPr>
        <w:t>Hand signals</w:t>
      </w:r>
    </w:p>
    <w:p w14:paraId="072B3C30" w14:textId="77777777" w:rsidR="006C0A13" w:rsidRPr="006C0A13" w:rsidRDefault="006C0A13" w:rsidP="006C0A13">
      <w:pPr>
        <w:numPr>
          <w:ilvl w:val="1"/>
          <w:numId w:val="2"/>
        </w:numPr>
        <w:spacing w:after="120" w:line="240" w:lineRule="auto"/>
        <w:contextualSpacing/>
        <w:rPr>
          <w:rFonts w:ascii="Tw Cen MT" w:eastAsia="Tw Cen MT" w:hAnsi="Tw Cen MT" w:cs="Times New Roman"/>
        </w:rPr>
      </w:pPr>
      <w:r w:rsidRPr="006C0A13">
        <w:rPr>
          <w:rFonts w:ascii="Tw Cen MT" w:eastAsia="Tw Cen MT" w:hAnsi="Tw Cen MT" w:cs="Times New Roman"/>
        </w:rPr>
        <w:t>B &amp; C</w:t>
      </w:r>
    </w:p>
    <w:p w14:paraId="20B0AF58" w14:textId="77777777" w:rsidR="006C0A13" w:rsidRPr="006C0A13" w:rsidRDefault="006C0A13" w:rsidP="006C0A13">
      <w:pPr>
        <w:spacing w:after="120" w:line="240" w:lineRule="auto"/>
        <w:contextualSpacing/>
        <w:rPr>
          <w:rFonts w:ascii="Tw Cen MT" w:eastAsia="Tw Cen MT" w:hAnsi="Tw Cen MT" w:cs="Times New Roman"/>
        </w:rPr>
      </w:pPr>
    </w:p>
    <w:p w14:paraId="35437565" w14:textId="77777777" w:rsidR="006C0A13" w:rsidRPr="006C0A13" w:rsidRDefault="006C0A13" w:rsidP="006C0A13">
      <w:pPr>
        <w:spacing w:after="120" w:line="240" w:lineRule="auto"/>
        <w:rPr>
          <w:rFonts w:ascii="Tw Cen MT" w:eastAsia="Tw Cen MT" w:hAnsi="Tw Cen MT" w:cs="Times New Roman"/>
          <w:b/>
        </w:rPr>
      </w:pPr>
      <w:r w:rsidRPr="006C0A13">
        <w:rPr>
          <w:rFonts w:ascii="Tw Cen MT" w:eastAsia="Tw Cen MT" w:hAnsi="Tw Cen MT" w:cs="Times New Roman"/>
          <w:b/>
        </w:rPr>
        <w:t>For the following scenario, match the following methods to each elicited response:</w:t>
      </w:r>
    </w:p>
    <w:p w14:paraId="77FB86E5" w14:textId="77777777" w:rsidR="006C0A13" w:rsidRPr="006C0A13" w:rsidRDefault="006C0A13" w:rsidP="006C0A13">
      <w:pPr>
        <w:numPr>
          <w:ilvl w:val="0"/>
          <w:numId w:val="3"/>
        </w:numPr>
        <w:spacing w:after="120" w:line="240" w:lineRule="auto"/>
        <w:rPr>
          <w:rFonts w:ascii="Tw Cen MT" w:eastAsia="Tw Cen MT" w:hAnsi="Tw Cen MT" w:cs="Times New Roman"/>
        </w:rPr>
      </w:pPr>
      <w:r w:rsidRPr="006C0A13">
        <w:rPr>
          <w:rFonts w:ascii="Tw Cen MT" w:eastAsia="Tw Cen MT" w:hAnsi="Tw Cen MT" w:cs="Times New Roman"/>
        </w:rPr>
        <w:t>White Boards</w:t>
      </w:r>
      <w:r w:rsidRPr="006C0A13">
        <w:rPr>
          <w:rFonts w:ascii="Tw Cen MT" w:eastAsia="Tw Cen MT" w:hAnsi="Tw Cen MT" w:cs="Times New Roman"/>
        </w:rPr>
        <w:tab/>
      </w:r>
      <w:r w:rsidRPr="006C0A13">
        <w:rPr>
          <w:rFonts w:ascii="Tw Cen MT" w:eastAsia="Tw Cen MT" w:hAnsi="Tw Cen MT" w:cs="Times New Roman"/>
        </w:rPr>
        <w:tab/>
        <w:t>b) Turn and Talk</w:t>
      </w:r>
      <w:r w:rsidRPr="006C0A13">
        <w:rPr>
          <w:rFonts w:ascii="Tw Cen MT" w:eastAsia="Tw Cen MT" w:hAnsi="Tw Cen MT" w:cs="Times New Roman"/>
        </w:rPr>
        <w:tab/>
        <w:t xml:space="preserve">c) Individual Response </w:t>
      </w:r>
      <w:r w:rsidRPr="006C0A13">
        <w:rPr>
          <w:rFonts w:ascii="Tw Cen MT" w:eastAsia="Tw Cen MT" w:hAnsi="Tw Cen MT" w:cs="Times New Roman"/>
        </w:rPr>
        <w:tab/>
      </w:r>
      <w:r w:rsidRPr="006C0A13">
        <w:rPr>
          <w:rFonts w:ascii="Tw Cen MT" w:eastAsia="Tw Cen MT" w:hAnsi="Tw Cen MT" w:cs="Times New Roman"/>
        </w:rPr>
        <w:tab/>
        <w:t>d) Choral Response</w:t>
      </w:r>
    </w:p>
    <w:p w14:paraId="0772EBEB" w14:textId="77777777" w:rsidR="006C0A13" w:rsidRPr="006C0A13" w:rsidRDefault="006C0A13" w:rsidP="006C0A13">
      <w:pPr>
        <w:spacing w:after="120" w:line="240" w:lineRule="auto"/>
        <w:rPr>
          <w:rFonts w:ascii="Tw Cen MT" w:eastAsia="Tw Cen MT" w:hAnsi="Tw Cen MT" w:cs="Times New Roman"/>
        </w:rPr>
      </w:pPr>
      <w:r w:rsidRPr="006C0A13">
        <w:rPr>
          <w:rFonts w:ascii="Tw Cen MT" w:eastAsia="Tw Cen MT" w:hAnsi="Tw Cen MT" w:cs="Times New Roman"/>
        </w:rPr>
        <w:t>Mrs. T is a 1st grade special educator teaching a math lesson about the commutative property of addition. The learning outcome is that SWBAT apply the commutative property to successfully solve addition problems. Identify the response format for each response elicited:</w:t>
      </w:r>
    </w:p>
    <w:p w14:paraId="5ED13910" w14:textId="77777777" w:rsidR="006C0A13" w:rsidRPr="006C0A13" w:rsidRDefault="006C0A13" w:rsidP="006C0A13">
      <w:pPr>
        <w:numPr>
          <w:ilvl w:val="0"/>
          <w:numId w:val="4"/>
        </w:numPr>
        <w:spacing w:after="120" w:line="240" w:lineRule="auto"/>
        <w:contextualSpacing/>
        <w:rPr>
          <w:rFonts w:ascii="Tw Cen MT" w:eastAsia="Tw Cen MT" w:hAnsi="Tw Cen MT" w:cs="Times New Roman"/>
        </w:rPr>
      </w:pPr>
      <w:r w:rsidRPr="006C0A13">
        <w:rPr>
          <w:rFonts w:ascii="Tw Cen MT" w:eastAsia="Tw Cen MT" w:hAnsi="Tw Cen MT" w:cs="Times New Roman"/>
        </w:rPr>
        <w:t>T: “Today we will learn about the commutative property of addition. What property will we learn about, Shamar?”</w:t>
      </w:r>
    </w:p>
    <w:p w14:paraId="1B86F87A" w14:textId="77777777" w:rsidR="006C0A13" w:rsidRPr="006C0A13" w:rsidRDefault="006C0A13" w:rsidP="006C0A13">
      <w:pPr>
        <w:numPr>
          <w:ilvl w:val="0"/>
          <w:numId w:val="4"/>
        </w:numPr>
        <w:spacing w:after="120" w:line="240" w:lineRule="auto"/>
        <w:contextualSpacing/>
        <w:rPr>
          <w:rFonts w:ascii="Tw Cen MT" w:eastAsia="Tw Cen MT" w:hAnsi="Tw Cen MT" w:cs="Times New Roman"/>
        </w:rPr>
      </w:pPr>
      <w:r w:rsidRPr="006C0A13">
        <w:rPr>
          <w:rFonts w:ascii="Tw Cen MT" w:eastAsia="Tw Cen MT" w:hAnsi="Tw Cen MT" w:cs="Times New Roman"/>
        </w:rPr>
        <w:t>T: “We will learn about the commutative property using the equation 7+5=12. Read this equation with me.”</w:t>
      </w:r>
    </w:p>
    <w:p w14:paraId="23F715BF" w14:textId="77777777" w:rsidR="006C0A13" w:rsidRPr="006C0A13" w:rsidRDefault="006C0A13" w:rsidP="006C0A13">
      <w:pPr>
        <w:numPr>
          <w:ilvl w:val="0"/>
          <w:numId w:val="4"/>
        </w:numPr>
        <w:spacing w:after="120" w:line="240" w:lineRule="auto"/>
        <w:contextualSpacing/>
        <w:rPr>
          <w:rFonts w:ascii="Tw Cen MT" w:eastAsia="Tw Cen MT" w:hAnsi="Tw Cen MT" w:cs="Times New Roman"/>
        </w:rPr>
      </w:pPr>
      <w:r w:rsidRPr="006C0A13">
        <w:rPr>
          <w:rFonts w:ascii="Tw Cen MT" w:eastAsia="Tw Cen MT" w:hAnsi="Tw Cen MT" w:cs="Times New Roman"/>
        </w:rPr>
        <w:t>T: “Since 7+5=12, we can use the commutative property to know that 5+7 also = 12. What does 5+7 equal? Write the sum on your whiteboard.”</w:t>
      </w:r>
    </w:p>
    <w:p w14:paraId="590A076B" w14:textId="77777777" w:rsidR="006C0A13" w:rsidRPr="006C0A13" w:rsidRDefault="006C0A13" w:rsidP="006C0A13">
      <w:pPr>
        <w:numPr>
          <w:ilvl w:val="0"/>
          <w:numId w:val="4"/>
        </w:numPr>
        <w:spacing w:after="120" w:line="240" w:lineRule="auto"/>
        <w:contextualSpacing/>
        <w:rPr>
          <w:rFonts w:ascii="Tw Cen MT" w:eastAsia="Tw Cen MT" w:hAnsi="Tw Cen MT" w:cs="Times New Roman"/>
        </w:rPr>
      </w:pPr>
      <w:r w:rsidRPr="006C0A13">
        <w:rPr>
          <w:rFonts w:ascii="Tw Cen MT" w:eastAsia="Tw Cen MT" w:hAnsi="Tw Cen MT" w:cs="Times New Roman"/>
        </w:rPr>
        <w:t xml:space="preserve">T: “I know that 9+6=15. Using the commutative property, what does 6 plus 9 </w:t>
      </w:r>
      <w:proofErr w:type="gramStart"/>
      <w:r w:rsidRPr="006C0A13">
        <w:rPr>
          <w:rFonts w:ascii="Tw Cen MT" w:eastAsia="Tw Cen MT" w:hAnsi="Tw Cen MT" w:cs="Times New Roman"/>
        </w:rPr>
        <w:t>equal</w:t>
      </w:r>
      <w:proofErr w:type="gramEnd"/>
      <w:r w:rsidRPr="006C0A13">
        <w:rPr>
          <w:rFonts w:ascii="Tw Cen MT" w:eastAsia="Tw Cen MT" w:hAnsi="Tw Cen MT" w:cs="Times New Roman"/>
        </w:rPr>
        <w:t>? Turn and whisper to your partner.”</w:t>
      </w:r>
    </w:p>
    <w:p w14:paraId="70CB7533" w14:textId="77777777" w:rsidR="006C0A13" w:rsidRPr="006C0A13" w:rsidRDefault="006C0A13" w:rsidP="006C0A13">
      <w:pPr>
        <w:spacing w:after="120" w:line="240" w:lineRule="auto"/>
        <w:rPr>
          <w:rFonts w:ascii="Tw Cen MT" w:eastAsia="Tw Cen MT" w:hAnsi="Tw Cen MT" w:cs="Times New Roman"/>
          <w:b/>
        </w:rPr>
      </w:pPr>
      <w:r w:rsidRPr="006C0A13">
        <w:rPr>
          <w:rFonts w:ascii="Tw Cen MT" w:eastAsia="Tw Cen MT" w:hAnsi="Tw Cen MT" w:cs="Times New Roman"/>
          <w:b/>
        </w:rPr>
        <w:t xml:space="preserve">For the following scenario, decide </w:t>
      </w:r>
      <w:proofErr w:type="gramStart"/>
      <w:r w:rsidRPr="006C0A13">
        <w:rPr>
          <w:rFonts w:ascii="Tw Cen MT" w:eastAsia="Tw Cen MT" w:hAnsi="Tw Cen MT" w:cs="Times New Roman"/>
          <w:b/>
        </w:rPr>
        <w:t>whether or not</w:t>
      </w:r>
      <w:proofErr w:type="gramEnd"/>
      <w:r w:rsidRPr="006C0A13">
        <w:rPr>
          <w:rFonts w:ascii="Tw Cen MT" w:eastAsia="Tw Cen MT" w:hAnsi="Tw Cen MT" w:cs="Times New Roman"/>
          <w:b/>
        </w:rPr>
        <w:t xml:space="preserve"> the method used to elicit a response maximized student engagement. </w:t>
      </w:r>
    </w:p>
    <w:p w14:paraId="485C23DB" w14:textId="77777777" w:rsidR="006C0A13" w:rsidRPr="006C0A13" w:rsidRDefault="006C0A13" w:rsidP="006C0A13">
      <w:pPr>
        <w:numPr>
          <w:ilvl w:val="1"/>
          <w:numId w:val="1"/>
        </w:numPr>
        <w:tabs>
          <w:tab w:val="num" w:pos="720"/>
          <w:tab w:val="left" w:pos="1530"/>
        </w:tabs>
        <w:spacing w:after="120" w:line="240" w:lineRule="auto"/>
        <w:ind w:hanging="1080"/>
        <w:contextualSpacing/>
        <w:rPr>
          <w:rFonts w:ascii="Tw Cen MT" w:eastAsia="Tw Cen MT" w:hAnsi="Tw Cen MT" w:cs="Times New Roman"/>
        </w:rPr>
      </w:pPr>
      <w:r w:rsidRPr="006C0A13">
        <w:rPr>
          <w:rFonts w:ascii="Tw Cen MT" w:eastAsia="Tw Cen MT" w:hAnsi="Tw Cen MT" w:cs="Times New Roman"/>
        </w:rPr>
        <w:t>Yes – student engagement was maximized</w:t>
      </w:r>
      <w:r w:rsidRPr="006C0A13">
        <w:rPr>
          <w:rFonts w:ascii="Tw Cen MT" w:eastAsia="Tw Cen MT" w:hAnsi="Tw Cen MT" w:cs="Times New Roman"/>
        </w:rPr>
        <w:tab/>
      </w:r>
      <w:r w:rsidRPr="006C0A13">
        <w:rPr>
          <w:rFonts w:ascii="Tw Cen MT" w:eastAsia="Tw Cen MT" w:hAnsi="Tw Cen MT" w:cs="Times New Roman"/>
        </w:rPr>
        <w:tab/>
        <w:t>b) No – student engagement was not maximized</w:t>
      </w:r>
    </w:p>
    <w:p w14:paraId="11D86BFE" w14:textId="77777777" w:rsidR="006C0A13" w:rsidRPr="006C0A13" w:rsidRDefault="006C0A13" w:rsidP="006C0A13">
      <w:pPr>
        <w:spacing w:line="259" w:lineRule="auto"/>
        <w:rPr>
          <w:rFonts w:ascii="Tw Cen MT" w:eastAsia="Tw Cen MT" w:hAnsi="Tw Cen MT" w:cs="Times New Roman"/>
        </w:rPr>
      </w:pPr>
      <w:r w:rsidRPr="006C0A13">
        <w:rPr>
          <w:rFonts w:ascii="Tw Cen MT" w:eastAsia="Tw Cen MT" w:hAnsi="Tw Cen MT" w:cs="Times New Roman"/>
        </w:rPr>
        <w:t>Mr. M is a 7th grade special educator teaching a lesson about text features. The learning outcome is that SWBAT ide</w:t>
      </w:r>
      <w:bookmarkStart w:id="0" w:name="_GoBack"/>
      <w:bookmarkEnd w:id="0"/>
      <w:r w:rsidRPr="006C0A13">
        <w:rPr>
          <w:rFonts w:ascii="Tw Cen MT" w:eastAsia="Tw Cen MT" w:hAnsi="Tw Cen MT" w:cs="Times New Roman"/>
        </w:rPr>
        <w:t xml:space="preserve">ntify three text features: headings, picture captions, and maps. Identify the response format for each response elicited: </w:t>
      </w:r>
    </w:p>
    <w:p w14:paraId="36B3A42C" w14:textId="77777777" w:rsidR="006C0A13" w:rsidRPr="006C0A13" w:rsidRDefault="006C0A13" w:rsidP="006C0A13">
      <w:pPr>
        <w:numPr>
          <w:ilvl w:val="0"/>
          <w:numId w:val="5"/>
        </w:numPr>
        <w:spacing w:line="259" w:lineRule="auto"/>
        <w:contextualSpacing/>
        <w:rPr>
          <w:rFonts w:ascii="Tw Cen MT" w:eastAsia="Tw Cen MT" w:hAnsi="Tw Cen MT" w:cs="Times New Roman"/>
        </w:rPr>
      </w:pPr>
      <w:r w:rsidRPr="006C0A13">
        <w:rPr>
          <w:rFonts w:ascii="Tw Cen MT" w:eastAsia="Tw Cen MT" w:hAnsi="Tw Cen MT" w:cs="Times New Roman"/>
        </w:rPr>
        <w:lastRenderedPageBreak/>
        <w:t>T: “Today we will learn about 3 new text features. Who can remind me of the text feature we learned about yesterday?”</w:t>
      </w:r>
    </w:p>
    <w:p w14:paraId="24AE0EF7" w14:textId="77777777" w:rsidR="006C0A13" w:rsidRPr="006C0A13" w:rsidRDefault="006C0A13" w:rsidP="006C0A13">
      <w:pPr>
        <w:numPr>
          <w:ilvl w:val="0"/>
          <w:numId w:val="5"/>
        </w:numPr>
        <w:spacing w:line="259" w:lineRule="auto"/>
        <w:contextualSpacing/>
        <w:rPr>
          <w:rFonts w:ascii="Tw Cen MT" w:eastAsia="Tw Cen MT" w:hAnsi="Tw Cen MT" w:cs="Times New Roman"/>
        </w:rPr>
      </w:pPr>
      <w:r w:rsidRPr="006C0A13">
        <w:rPr>
          <w:rFonts w:ascii="Tw Cen MT" w:eastAsia="Tw Cen MT" w:hAnsi="Tw Cen MT" w:cs="Times New Roman"/>
        </w:rPr>
        <w:t xml:space="preserve">T: “A heading is </w:t>
      </w:r>
      <w:proofErr w:type="gramStart"/>
      <w:r w:rsidRPr="006C0A13">
        <w:rPr>
          <w:rFonts w:ascii="Tw Cen MT" w:eastAsia="Tw Cen MT" w:hAnsi="Tw Cen MT" w:cs="Times New Roman"/>
        </w:rPr>
        <w:t>similar to</w:t>
      </w:r>
      <w:proofErr w:type="gramEnd"/>
      <w:r w:rsidRPr="006C0A13">
        <w:rPr>
          <w:rFonts w:ascii="Tw Cen MT" w:eastAsia="Tw Cen MT" w:hAnsi="Tw Cen MT" w:cs="Times New Roman"/>
        </w:rPr>
        <w:t xml:space="preserve"> a title. It comes before a passage of text and tells us what the passage is about. Point to a heading in the article on your desk.”</w:t>
      </w:r>
    </w:p>
    <w:p w14:paraId="2FE86BDD" w14:textId="77777777" w:rsidR="006C0A13" w:rsidRPr="006C0A13" w:rsidRDefault="006C0A13" w:rsidP="006C0A13">
      <w:pPr>
        <w:numPr>
          <w:ilvl w:val="0"/>
          <w:numId w:val="5"/>
        </w:numPr>
        <w:spacing w:line="259" w:lineRule="auto"/>
        <w:contextualSpacing/>
      </w:pPr>
      <w:r w:rsidRPr="006C0A13">
        <w:rPr>
          <w:rFonts w:ascii="Tw Cen MT" w:eastAsia="Tw Cen MT" w:hAnsi="Tw Cen MT" w:cs="Times New Roman"/>
        </w:rPr>
        <w:t>T: “Now we’ll learn about picture captions. Alicia, can you please come write the phrase picture captions on the board?”</w:t>
      </w:r>
    </w:p>
    <w:p w14:paraId="29C65430" w14:textId="146CE05F" w:rsidR="000869AC" w:rsidRDefault="006C0A13" w:rsidP="006C0A13">
      <w:pPr>
        <w:numPr>
          <w:ilvl w:val="0"/>
          <w:numId w:val="5"/>
        </w:numPr>
        <w:spacing w:line="259" w:lineRule="auto"/>
        <w:contextualSpacing/>
      </w:pPr>
      <w:r w:rsidRPr="006C0A13">
        <w:rPr>
          <w:rFonts w:ascii="Tw Cen MT" w:eastAsia="Tw Cen MT" w:hAnsi="Tw Cen MT" w:cs="Times New Roman"/>
        </w:rPr>
        <w:t>T: “Maps are most often found in non-fiction text, like textbooks or news articles. Where are you more likely to find a map, in a chapter book or in an encyclopedia? Show one finger if you think chapter book and two fingers if you think encyclopedia.”</w:t>
      </w:r>
    </w:p>
    <w:sectPr w:rsidR="0008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3B5"/>
    <w:multiLevelType w:val="hybridMultilevel"/>
    <w:tmpl w:val="E406622C"/>
    <w:lvl w:ilvl="0" w:tplc="9C70DF5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4ADE"/>
    <w:multiLevelType w:val="hybridMultilevel"/>
    <w:tmpl w:val="F6BE745A"/>
    <w:lvl w:ilvl="0" w:tplc="45B6D388">
      <w:start w:val="1"/>
      <w:numFmt w:val="decimal"/>
      <w:lvlText w:val="%1."/>
      <w:lvlJc w:val="left"/>
      <w:pPr>
        <w:tabs>
          <w:tab w:val="num" w:pos="720"/>
        </w:tabs>
        <w:ind w:left="720" w:hanging="360"/>
      </w:pPr>
    </w:lvl>
    <w:lvl w:ilvl="1" w:tplc="B760655E">
      <w:start w:val="1"/>
      <w:numFmt w:val="lowerLetter"/>
      <w:lvlText w:val="%2)"/>
      <w:lvlJc w:val="left"/>
      <w:pPr>
        <w:tabs>
          <w:tab w:val="num" w:pos="1440"/>
        </w:tabs>
        <w:ind w:left="1440" w:hanging="360"/>
      </w:pPr>
    </w:lvl>
    <w:lvl w:ilvl="2" w:tplc="561CF854" w:tentative="1">
      <w:start w:val="1"/>
      <w:numFmt w:val="decimal"/>
      <w:lvlText w:val="%3."/>
      <w:lvlJc w:val="left"/>
      <w:pPr>
        <w:tabs>
          <w:tab w:val="num" w:pos="2160"/>
        </w:tabs>
        <w:ind w:left="2160" w:hanging="360"/>
      </w:pPr>
    </w:lvl>
    <w:lvl w:ilvl="3" w:tplc="480EBA16" w:tentative="1">
      <w:start w:val="1"/>
      <w:numFmt w:val="decimal"/>
      <w:lvlText w:val="%4."/>
      <w:lvlJc w:val="left"/>
      <w:pPr>
        <w:tabs>
          <w:tab w:val="num" w:pos="2880"/>
        </w:tabs>
        <w:ind w:left="2880" w:hanging="360"/>
      </w:pPr>
    </w:lvl>
    <w:lvl w:ilvl="4" w:tplc="7EB67D06" w:tentative="1">
      <w:start w:val="1"/>
      <w:numFmt w:val="decimal"/>
      <w:lvlText w:val="%5."/>
      <w:lvlJc w:val="left"/>
      <w:pPr>
        <w:tabs>
          <w:tab w:val="num" w:pos="3600"/>
        </w:tabs>
        <w:ind w:left="3600" w:hanging="360"/>
      </w:pPr>
    </w:lvl>
    <w:lvl w:ilvl="5" w:tplc="AC2A5738" w:tentative="1">
      <w:start w:val="1"/>
      <w:numFmt w:val="decimal"/>
      <w:lvlText w:val="%6."/>
      <w:lvlJc w:val="left"/>
      <w:pPr>
        <w:tabs>
          <w:tab w:val="num" w:pos="4320"/>
        </w:tabs>
        <w:ind w:left="4320" w:hanging="360"/>
      </w:pPr>
    </w:lvl>
    <w:lvl w:ilvl="6" w:tplc="7D606948" w:tentative="1">
      <w:start w:val="1"/>
      <w:numFmt w:val="decimal"/>
      <w:lvlText w:val="%7."/>
      <w:lvlJc w:val="left"/>
      <w:pPr>
        <w:tabs>
          <w:tab w:val="num" w:pos="5040"/>
        </w:tabs>
        <w:ind w:left="5040" w:hanging="360"/>
      </w:pPr>
    </w:lvl>
    <w:lvl w:ilvl="7" w:tplc="45DEB56A" w:tentative="1">
      <w:start w:val="1"/>
      <w:numFmt w:val="decimal"/>
      <w:lvlText w:val="%8."/>
      <w:lvlJc w:val="left"/>
      <w:pPr>
        <w:tabs>
          <w:tab w:val="num" w:pos="5760"/>
        </w:tabs>
        <w:ind w:left="5760" w:hanging="360"/>
      </w:pPr>
    </w:lvl>
    <w:lvl w:ilvl="8" w:tplc="4C62ABBC" w:tentative="1">
      <w:start w:val="1"/>
      <w:numFmt w:val="decimal"/>
      <w:lvlText w:val="%9."/>
      <w:lvlJc w:val="left"/>
      <w:pPr>
        <w:tabs>
          <w:tab w:val="num" w:pos="6480"/>
        </w:tabs>
        <w:ind w:left="6480" w:hanging="360"/>
      </w:pPr>
    </w:lvl>
  </w:abstractNum>
  <w:abstractNum w:abstractNumId="2" w15:restartNumberingAfterBreak="0">
    <w:nsid w:val="2B9F30BF"/>
    <w:multiLevelType w:val="hybridMultilevel"/>
    <w:tmpl w:val="3D02E218"/>
    <w:lvl w:ilvl="0" w:tplc="6EFC4298">
      <w:start w:val="7"/>
      <w:numFmt w:val="decimal"/>
      <w:lvlText w:val="%1."/>
      <w:lvlJc w:val="left"/>
      <w:pPr>
        <w:ind w:left="720" w:hanging="360"/>
      </w:pPr>
      <w:rPr>
        <w:rFonts w:ascii="Tw Cen MT" w:hAnsi="Tw Cen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747C5"/>
    <w:multiLevelType w:val="hybridMultilevel"/>
    <w:tmpl w:val="B6D46DD2"/>
    <w:lvl w:ilvl="0" w:tplc="782CB4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56368"/>
    <w:multiLevelType w:val="hybridMultilevel"/>
    <w:tmpl w:val="8E2EE666"/>
    <w:lvl w:ilvl="0" w:tplc="9A7890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13"/>
    <w:rsid w:val="00154C76"/>
    <w:rsid w:val="0021218B"/>
    <w:rsid w:val="002655A4"/>
    <w:rsid w:val="00476623"/>
    <w:rsid w:val="005E660E"/>
    <w:rsid w:val="006C0A13"/>
    <w:rsid w:val="009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DD00A"/>
  <w15:chartTrackingRefBased/>
  <w15:docId w15:val="{16454D1F-DB61-4913-8370-714D578D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styleId="TableGrid">
    <w:name w:val="Table Grid"/>
    <w:basedOn w:val="TableNormal"/>
    <w:uiPriority w:val="59"/>
    <w:rsid w:val="006C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2018-07-16T22:50:00Z</dcterms:created>
  <dcterms:modified xsi:type="dcterms:W3CDTF">2018-07-30T20:16:00Z</dcterms:modified>
</cp:coreProperties>
</file>