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16343" w14:textId="3CE47FA3" w:rsidR="00645E21" w:rsidRDefault="00645E21" w:rsidP="00D6397C">
      <w:pPr>
        <w:pStyle w:val="Heading1"/>
      </w:pPr>
      <w:r>
        <w:t>Intensive Intervention in Mathematics</w:t>
      </w:r>
      <w:r w:rsidRPr="00EA6124">
        <w:t xml:space="preserve">: </w:t>
      </w:r>
      <w:r w:rsidR="00437AFE">
        <w:t>Suggested Reading</w:t>
      </w:r>
      <w:r w:rsidR="001B253B">
        <w:t xml:space="preserve"> List</w:t>
      </w:r>
    </w:p>
    <w:p w14:paraId="3718646C" w14:textId="54BB03D8" w:rsidR="00645E21" w:rsidRDefault="00437AFE" w:rsidP="00D6397C">
      <w:r>
        <w:t>(</w:t>
      </w:r>
      <w:r w:rsidR="00D6397C">
        <w:t xml:space="preserve">Articles with an asterisk were </w:t>
      </w:r>
      <w:r>
        <w:t>used in the module)</w:t>
      </w:r>
      <w:bookmarkStart w:id="0" w:name="_GoBack"/>
      <w:bookmarkEnd w:id="0"/>
    </w:p>
    <w:p w14:paraId="7405B040" w14:textId="77777777" w:rsidR="00346BFE" w:rsidRDefault="00346BFE" w:rsidP="00645E21">
      <w:pPr>
        <w:rPr>
          <w:i/>
          <w:iCs/>
        </w:rPr>
      </w:pPr>
    </w:p>
    <w:p w14:paraId="3DD1543B" w14:textId="31FDE34C" w:rsidR="00645E21" w:rsidRDefault="00437AFE" w:rsidP="001B253B">
      <w:pPr>
        <w:pStyle w:val="Heading1"/>
      </w:pPr>
      <w:r>
        <w:t>Module 1</w:t>
      </w:r>
    </w:p>
    <w:p w14:paraId="229942D6" w14:textId="77777777" w:rsidR="00EA0EA9" w:rsidRDefault="00EA0EA9" w:rsidP="00EA0EA9">
      <w:pPr>
        <w:ind w:left="720" w:hanging="720"/>
      </w:pPr>
      <w:r w:rsidRPr="00EA0EA9">
        <w:rPr>
          <w:lang w:val="fr-FR"/>
        </w:rPr>
        <w:t>Bryant, D. P., &amp; Bryant, B. R. (</w:t>
      </w:r>
      <w:r>
        <w:rPr>
          <w:lang w:val="fr-FR"/>
        </w:rPr>
        <w:t xml:space="preserve">2017). </w:t>
      </w:r>
      <w:r w:rsidRPr="00EA0EA9">
        <w:t>Intensifying intervention for students with persistent and severe mathema</w:t>
      </w:r>
      <w:r>
        <w:t xml:space="preserve">tics difficulties. </w:t>
      </w:r>
      <w:r>
        <w:rPr>
          <w:i/>
          <w:iCs/>
        </w:rPr>
        <w:t>Teaching Exceptional Children, 49</w:t>
      </w:r>
      <w:r>
        <w:t>, 93</w:t>
      </w:r>
      <w:r w:rsidRPr="00437AFE">
        <w:t>–</w:t>
      </w:r>
      <w:r>
        <w:t xml:space="preserve">95. </w:t>
      </w:r>
      <w:hyperlink r:id="rId6" w:history="1">
        <w:r w:rsidRPr="006239EE">
          <w:rPr>
            <w:rStyle w:val="Hyperlink"/>
          </w:rPr>
          <w:t>https://doi.org/10.1177/0040059916676794</w:t>
        </w:r>
      </w:hyperlink>
    </w:p>
    <w:p w14:paraId="160BE3B4" w14:textId="77777777" w:rsidR="00967C54" w:rsidRDefault="00967C54" w:rsidP="00967C54">
      <w:pPr>
        <w:ind w:left="720" w:hanging="720"/>
      </w:pPr>
      <w:r>
        <w:t xml:space="preserve">Gersten, R., Beckmann, S., Clarke, B., Foegen, A., March, L., Star, J. R., &amp; Witzel, B. (2009). </w:t>
      </w:r>
      <w:r>
        <w:rPr>
          <w:i/>
        </w:rPr>
        <w:t xml:space="preserve">Assisting students struggling with mathematics: Response to intervention (RtI) for elementary and middle schools. </w:t>
      </w:r>
      <w:r w:rsidRPr="00437AFE">
        <w:t>Washington, DC: National Center for Education Evaluation and Regional Assistance, Institute of Education Sciences, U.S. Department of Education.</w:t>
      </w:r>
      <w:r>
        <w:t xml:space="preserve"> </w:t>
      </w:r>
      <w:hyperlink r:id="rId7" w:history="1">
        <w:r w:rsidRPr="007E0A61">
          <w:rPr>
            <w:rStyle w:val="Hyperlink"/>
          </w:rPr>
          <w:t>https://ies.ed.gov/ncee/wwc/Docs/PracticeGuide/rti_math_pg_042109.pdf</w:t>
        </w:r>
      </w:hyperlink>
    </w:p>
    <w:p w14:paraId="5FF6B932" w14:textId="77777777" w:rsidR="00B26C24" w:rsidRDefault="00B26C24" w:rsidP="00B26C24">
      <w:pPr>
        <w:ind w:left="720" w:hanging="720"/>
      </w:pPr>
      <w:r w:rsidRPr="00B26C24">
        <w:t xml:space="preserve">Powell, S. R., Fuchs, L. S., &amp; Fuchs. D. (2013). Reaching the mountaintop: Addressing the Common Core Standards in mathematics for students with mathematics difficulties. </w:t>
      </w:r>
      <w:r w:rsidRPr="00B26C24">
        <w:rPr>
          <w:i/>
          <w:iCs/>
        </w:rPr>
        <w:t>Learning Disabilities Research and Practice, 28</w:t>
      </w:r>
      <w:r w:rsidRPr="00B26C24">
        <w:t>,</w:t>
      </w:r>
      <w:r w:rsidRPr="00B26C24">
        <w:rPr>
          <w:i/>
          <w:iCs/>
        </w:rPr>
        <w:t xml:space="preserve"> </w:t>
      </w:r>
      <w:r w:rsidRPr="00B26C24">
        <w:t xml:space="preserve">38–48. </w:t>
      </w:r>
      <w:hyperlink r:id="rId8" w:history="1">
        <w:r w:rsidRPr="007E0A61">
          <w:rPr>
            <w:rStyle w:val="Hyperlink"/>
          </w:rPr>
          <w:t>https://doi.org/10.1111/ldrp.12001</w:t>
        </w:r>
      </w:hyperlink>
    </w:p>
    <w:p w14:paraId="6CA5D8B1" w14:textId="77E67A82" w:rsidR="00437AFE" w:rsidRDefault="00437AFE" w:rsidP="00B26C24">
      <w:pPr>
        <w:ind w:left="720" w:hanging="720"/>
      </w:pPr>
      <w:r w:rsidRPr="00EA0EA9">
        <w:t xml:space="preserve">*Powell, S. R., &amp; Stecker, P. M. (2014). </w:t>
      </w:r>
      <w:r w:rsidRPr="00437AFE">
        <w:t>Using data-based individualization to intensify mathematics intervention for students with disabilities. </w:t>
      </w:r>
      <w:r w:rsidRPr="00437AFE">
        <w:rPr>
          <w:i/>
          <w:iCs/>
        </w:rPr>
        <w:t>Teaching Exceptional Children, 46</w:t>
      </w:r>
      <w:r w:rsidRPr="00437AFE">
        <w:t xml:space="preserve">(4), 31–37. </w:t>
      </w:r>
      <w:hyperlink r:id="rId9" w:history="1">
        <w:r w:rsidRPr="006239EE">
          <w:rPr>
            <w:rStyle w:val="Hyperlink"/>
          </w:rPr>
          <w:t>https://doi.org/10.1177/0040059914523735</w:t>
        </w:r>
      </w:hyperlink>
    </w:p>
    <w:p w14:paraId="3176ED0C" w14:textId="77777777" w:rsidR="00437AFE" w:rsidRDefault="00437AFE" w:rsidP="00645E21">
      <w:pPr>
        <w:rPr>
          <w:i/>
          <w:iCs/>
        </w:rPr>
      </w:pPr>
    </w:p>
    <w:p w14:paraId="3A70AAD2" w14:textId="77777777" w:rsidR="00437AFE" w:rsidRPr="00437AFE" w:rsidRDefault="00437AFE" w:rsidP="001B253B">
      <w:pPr>
        <w:pStyle w:val="Heading1"/>
      </w:pPr>
      <w:r>
        <w:t>Module 2</w:t>
      </w:r>
    </w:p>
    <w:p w14:paraId="3C8DF93C" w14:textId="77777777" w:rsidR="00967C54" w:rsidRDefault="00346BFE" w:rsidP="00967C54">
      <w:pPr>
        <w:ind w:left="720" w:hanging="720"/>
      </w:pPr>
      <w:r>
        <w:t xml:space="preserve">Foegen, A., Jiban, C., &amp; </w:t>
      </w:r>
      <w:proofErr w:type="spellStart"/>
      <w:r>
        <w:t>Deno</w:t>
      </w:r>
      <w:proofErr w:type="spellEnd"/>
      <w:r>
        <w:t xml:space="preserve">, S. (2007). Progress monitoring measures in mathematics: A review of the literature. </w:t>
      </w:r>
      <w:r>
        <w:rPr>
          <w:i/>
        </w:rPr>
        <w:t>The Journal of Special Education, 41</w:t>
      </w:r>
      <w:r>
        <w:t>, 121</w:t>
      </w:r>
      <w:r w:rsidRPr="00437AFE">
        <w:t>–</w:t>
      </w:r>
      <w:r>
        <w:t xml:space="preserve">139. </w:t>
      </w:r>
      <w:hyperlink r:id="rId10" w:history="1">
        <w:r w:rsidR="00967C54" w:rsidRPr="007E0A61">
          <w:rPr>
            <w:rStyle w:val="Hyperlink"/>
          </w:rPr>
          <w:t>https://doi.org/10.1177/00224669070410020101</w:t>
        </w:r>
      </w:hyperlink>
    </w:p>
    <w:p w14:paraId="0F55FC61" w14:textId="584DD269" w:rsidR="00437AFE" w:rsidRDefault="00437AFE" w:rsidP="00967C54">
      <w:pPr>
        <w:ind w:left="720" w:hanging="720"/>
      </w:pPr>
      <w:r>
        <w:t>*</w:t>
      </w:r>
      <w:r w:rsidRPr="00437AFE">
        <w:t xml:space="preserve">Lembke, E. S., Strickland, T. K., &amp; Powell, S. R. (2016). Monitoring student progress to determine instructional effectiveness. In B. S. Witzel (Ed.), </w:t>
      </w:r>
      <w:r w:rsidRPr="00437AFE">
        <w:rPr>
          <w:i/>
          <w:iCs/>
        </w:rPr>
        <w:t>Bridging the gap between arithmetic and algebra</w:t>
      </w:r>
      <w:r w:rsidRPr="00437AFE">
        <w:t xml:space="preserve"> (pp. 139–155). Arlington, VA: Council for Exceptional Children.</w:t>
      </w:r>
    </w:p>
    <w:p w14:paraId="5D25E040" w14:textId="79753521" w:rsidR="00346BFE" w:rsidRDefault="00346BFE" w:rsidP="00437AFE">
      <w:pPr>
        <w:ind w:left="720" w:hanging="720"/>
      </w:pPr>
      <w:r>
        <w:t xml:space="preserve">Stecker, P. M., Fuchs, D., &amp; Fuchs, L. S. (2008). Progress monitoring as essential practice within response to intervention. </w:t>
      </w:r>
      <w:r>
        <w:rPr>
          <w:i/>
        </w:rPr>
        <w:t>Rural Special Education Quarterly, 27</w:t>
      </w:r>
      <w:r>
        <w:t>(4), 10</w:t>
      </w:r>
      <w:r w:rsidRPr="00437AFE">
        <w:t>–</w:t>
      </w:r>
      <w:r>
        <w:t xml:space="preserve">17. </w:t>
      </w:r>
      <w:hyperlink r:id="rId11" w:history="1">
        <w:r w:rsidR="00931D46" w:rsidRPr="007E0A61">
          <w:rPr>
            <w:rStyle w:val="Hyperlink"/>
          </w:rPr>
          <w:t>https://doi.org/10.1177/875687050802700403</w:t>
        </w:r>
      </w:hyperlink>
    </w:p>
    <w:p w14:paraId="70BFD0A7" w14:textId="77777777" w:rsidR="00CF1C0A" w:rsidRDefault="00D6397C"/>
    <w:p w14:paraId="09B49873" w14:textId="77777777" w:rsidR="00437AFE" w:rsidRPr="00437AFE" w:rsidRDefault="00437AFE" w:rsidP="001B253B">
      <w:pPr>
        <w:pStyle w:val="Heading1"/>
      </w:pPr>
      <w:r>
        <w:t>Module 3</w:t>
      </w:r>
    </w:p>
    <w:p w14:paraId="704917F7" w14:textId="77777777" w:rsidR="00437AFE" w:rsidRDefault="00437AFE" w:rsidP="00437AFE">
      <w:pPr>
        <w:ind w:left="720" w:hanging="720"/>
      </w:pPr>
      <w:r>
        <w:t xml:space="preserve">Doabler, C. T., Cary, M. S., Jungjohann, K., Clarke, B., Fien, H., Baker, S., …Chard, D. (2012). Enhancing core mathematics instruction for students at risk for mathematics disabilities. </w:t>
      </w:r>
      <w:r>
        <w:rPr>
          <w:i/>
          <w:iCs/>
        </w:rPr>
        <w:t>Teaching Exceptional Children, 44</w:t>
      </w:r>
      <w:r>
        <w:t>(4), 48</w:t>
      </w:r>
      <w:r w:rsidRPr="00437AFE">
        <w:t>–</w:t>
      </w:r>
      <w:r>
        <w:t xml:space="preserve">57. </w:t>
      </w:r>
      <w:hyperlink r:id="rId12" w:history="1">
        <w:r w:rsidRPr="006239EE">
          <w:rPr>
            <w:rStyle w:val="Hyperlink"/>
          </w:rPr>
          <w:t>https://doi.org/10.1177/004005991204400405</w:t>
        </w:r>
      </w:hyperlink>
    </w:p>
    <w:p w14:paraId="3F2954AB" w14:textId="77777777" w:rsidR="00437AFE" w:rsidRPr="00437AFE" w:rsidRDefault="00437AFE" w:rsidP="00437AFE">
      <w:pPr>
        <w:ind w:left="720" w:hanging="720"/>
      </w:pPr>
      <w:r>
        <w:lastRenderedPageBreak/>
        <w:t>*</w:t>
      </w:r>
      <w:r w:rsidRPr="00437AFE">
        <w:t xml:space="preserve">Hughes, E. M., Powell, S. R., Lembke, E. S., &amp; Riley-Tillman, T. C. (2016). Taking the guesswork out of locating evidence-based practices for diverse learners. </w:t>
      </w:r>
      <w:r w:rsidRPr="00437AFE">
        <w:rPr>
          <w:i/>
          <w:iCs/>
        </w:rPr>
        <w:t>Learning Disabilities Research and Practice, 31</w:t>
      </w:r>
      <w:r w:rsidRPr="00437AFE">
        <w:t xml:space="preserve">, 130–141. </w:t>
      </w:r>
      <w:hyperlink r:id="rId13" w:history="1">
        <w:r w:rsidRPr="00437AFE">
          <w:rPr>
            <w:rStyle w:val="Hyperlink"/>
            <w:lang w:val="de-DE"/>
          </w:rPr>
          <w:t>https://doi.org/10.1111/ldrp.12103</w:t>
        </w:r>
      </w:hyperlink>
    </w:p>
    <w:p w14:paraId="2FA1FA5D" w14:textId="77777777" w:rsidR="00437AFE" w:rsidRDefault="00437AFE" w:rsidP="00437AFE">
      <w:pPr>
        <w:ind w:left="720" w:hanging="720"/>
      </w:pPr>
      <w:r w:rsidRPr="00437AFE">
        <w:t xml:space="preserve">Powell, S. R., &amp; Fuchs, L. S., &amp; Fuchs. D. (2015). Intensive intervention in mathematics. </w:t>
      </w:r>
      <w:r w:rsidRPr="00437AFE">
        <w:rPr>
          <w:i/>
          <w:iCs/>
        </w:rPr>
        <w:t>Learning Disabilities Research and Practice, 30</w:t>
      </w:r>
      <w:r w:rsidRPr="00437AFE">
        <w:t>,</w:t>
      </w:r>
      <w:r w:rsidRPr="00437AFE">
        <w:rPr>
          <w:i/>
          <w:iCs/>
        </w:rPr>
        <w:t xml:space="preserve"> </w:t>
      </w:r>
      <w:r w:rsidRPr="00437AFE">
        <w:t xml:space="preserve">182–192. </w:t>
      </w:r>
      <w:hyperlink r:id="rId14" w:history="1">
        <w:r w:rsidRPr="006239EE">
          <w:rPr>
            <w:rStyle w:val="Hyperlink"/>
          </w:rPr>
          <w:t>https://doi.org/10.1111/ldrp.12087</w:t>
        </w:r>
      </w:hyperlink>
    </w:p>
    <w:p w14:paraId="740E9E3E" w14:textId="77777777" w:rsidR="00437AFE" w:rsidRPr="00437AFE" w:rsidRDefault="00437AFE" w:rsidP="00437AFE">
      <w:pPr>
        <w:ind w:left="720" w:hanging="720"/>
      </w:pPr>
      <w:r>
        <w:rPr>
          <w:rFonts w:cs="Segoe UI"/>
        </w:rPr>
        <w:t xml:space="preserve">Powell, S. R., Stevens, E. A., &amp; Hughes, E. M. (in press). Math language in middle school: Be more specific. </w:t>
      </w:r>
      <w:r>
        <w:rPr>
          <w:rFonts w:cs="Segoe UI"/>
          <w:i/>
        </w:rPr>
        <w:t xml:space="preserve">Teaching Exceptional Children. </w:t>
      </w:r>
      <w:hyperlink r:id="rId15" w:history="1">
        <w:r w:rsidRPr="006239EE">
          <w:rPr>
            <w:rStyle w:val="Hyperlink"/>
            <w:rFonts w:cs="Segoe UI"/>
            <w:iCs/>
          </w:rPr>
          <w:t>https://doi.org/10.1177/0040059918808762</w:t>
        </w:r>
      </w:hyperlink>
    </w:p>
    <w:p w14:paraId="6FD9B645" w14:textId="77777777" w:rsidR="00437AFE" w:rsidRDefault="00437AFE"/>
    <w:p w14:paraId="0E3257C0" w14:textId="77777777" w:rsidR="00437AFE" w:rsidRPr="00437AFE" w:rsidRDefault="00437AFE" w:rsidP="001B253B">
      <w:pPr>
        <w:pStyle w:val="Heading1"/>
      </w:pPr>
      <w:r>
        <w:t>Module 4</w:t>
      </w:r>
    </w:p>
    <w:p w14:paraId="53F434E4" w14:textId="77777777" w:rsidR="00931D46" w:rsidRDefault="00437AFE" w:rsidP="00931D46">
      <w:pPr>
        <w:ind w:left="720" w:hanging="720"/>
      </w:pPr>
      <w:r>
        <w:t>*</w:t>
      </w:r>
      <w:r w:rsidRPr="00437AFE">
        <w:t xml:space="preserve">Miller, S. P., &amp; Hudson, P. J. (2007). Using evidence-based practices to build mathematics competence related to conceptual, procedural, and declarative knowledge. </w:t>
      </w:r>
      <w:r w:rsidRPr="00437AFE">
        <w:rPr>
          <w:i/>
          <w:iCs/>
        </w:rPr>
        <w:t>Learning Disabilities Research and Practice, 22</w:t>
      </w:r>
      <w:r w:rsidRPr="00437AFE">
        <w:t xml:space="preserve">, 47–57. </w:t>
      </w:r>
      <w:hyperlink r:id="rId16" w:history="1">
        <w:r w:rsidR="00931D46" w:rsidRPr="007E0A61">
          <w:rPr>
            <w:rStyle w:val="Hyperlink"/>
          </w:rPr>
          <w:t>https://doi.org/10.1111/j.1540-5826.2007.00230.x</w:t>
        </w:r>
      </w:hyperlink>
    </w:p>
    <w:p w14:paraId="6A68ABDA" w14:textId="585F1D4F" w:rsidR="00967C54" w:rsidRDefault="00967C54" w:rsidP="00931D46">
      <w:pPr>
        <w:ind w:left="720" w:hanging="720"/>
      </w:pPr>
      <w:r>
        <w:rPr>
          <w:lang w:val="it-IT"/>
        </w:rPr>
        <w:t>Smith, J. L. M., S</w:t>
      </w:r>
      <w:r>
        <w:rPr>
          <w:rFonts w:ascii="Calibri" w:hAnsi="Calibri" w:cs="Calibri"/>
          <w:lang w:val="it-IT"/>
        </w:rPr>
        <w:t>á</w:t>
      </w:r>
      <w:r>
        <w:rPr>
          <w:lang w:val="it-IT"/>
        </w:rPr>
        <w:t xml:space="preserve">ez, L., &amp; Doabler, C. T. (2018). Using explicit and systematic instruction to support working memory. </w:t>
      </w:r>
      <w:r>
        <w:rPr>
          <w:i/>
          <w:lang w:val="it-IT"/>
        </w:rPr>
        <w:t>Teaching Exceptional Children, 50</w:t>
      </w:r>
      <w:r>
        <w:rPr>
          <w:lang w:val="it-IT"/>
        </w:rPr>
        <w:t>, 250</w:t>
      </w:r>
      <w:r w:rsidRPr="00437AFE">
        <w:t>–</w:t>
      </w:r>
      <w:r>
        <w:t xml:space="preserve">257. </w:t>
      </w:r>
      <w:hyperlink r:id="rId17" w:history="1">
        <w:r w:rsidRPr="007E0A61">
          <w:rPr>
            <w:rStyle w:val="Hyperlink"/>
          </w:rPr>
          <w:t>https://doi.org/10.1177/0040059918758151</w:t>
        </w:r>
      </w:hyperlink>
    </w:p>
    <w:p w14:paraId="5B2577FF" w14:textId="4CC2DB6C" w:rsidR="00437AFE" w:rsidRDefault="00437AFE" w:rsidP="00967C54">
      <w:pPr>
        <w:ind w:left="720" w:hanging="720"/>
      </w:pPr>
      <w:r w:rsidRPr="00437AFE">
        <w:rPr>
          <w:lang w:val="it-IT"/>
        </w:rPr>
        <w:t xml:space="preserve">Witzel, B. S., Riccomini, P. J., </w:t>
      </w:r>
      <w:r>
        <w:rPr>
          <w:lang w:val="it-IT"/>
        </w:rPr>
        <w:t xml:space="preserve">&amp; Schneider, E. (2008). </w:t>
      </w:r>
      <w:r w:rsidRPr="00437AFE">
        <w:t xml:space="preserve">Implementing CRA with secondary students with learning disabilities in mathematics. </w:t>
      </w:r>
      <w:r>
        <w:rPr>
          <w:i/>
          <w:iCs/>
        </w:rPr>
        <w:t>Intervention in School and Clinic, 43</w:t>
      </w:r>
      <w:r>
        <w:t>, 270</w:t>
      </w:r>
      <w:r w:rsidRPr="00437AFE">
        <w:t>–</w:t>
      </w:r>
      <w:r>
        <w:t xml:space="preserve">276. </w:t>
      </w:r>
      <w:hyperlink r:id="rId18" w:history="1">
        <w:r w:rsidRPr="006239EE">
          <w:rPr>
            <w:rStyle w:val="Hyperlink"/>
          </w:rPr>
          <w:t>https://doi.org/10.1177/1053451208314734</w:t>
        </w:r>
      </w:hyperlink>
    </w:p>
    <w:p w14:paraId="477967F3" w14:textId="77777777" w:rsidR="00437AFE" w:rsidRPr="00437AFE" w:rsidRDefault="00437AFE" w:rsidP="00437AFE"/>
    <w:p w14:paraId="1795A7DA" w14:textId="77777777" w:rsidR="00437AFE" w:rsidRPr="00437AFE" w:rsidRDefault="00437AFE" w:rsidP="001B253B">
      <w:pPr>
        <w:pStyle w:val="Heading1"/>
      </w:pPr>
      <w:r>
        <w:t>Module 5</w:t>
      </w:r>
    </w:p>
    <w:p w14:paraId="6355101D" w14:textId="77777777" w:rsidR="00437AFE" w:rsidRDefault="00437AFE" w:rsidP="00437AFE">
      <w:pPr>
        <w:ind w:left="720" w:hanging="720"/>
      </w:pPr>
      <w:r w:rsidRPr="4313D9BC">
        <w:t>Powell, S. R., &amp; Fuch</w:t>
      </w:r>
      <w:r>
        <w:t>s, L. S. (2018</w:t>
      </w:r>
      <w:r w:rsidRPr="4313D9BC">
        <w:t xml:space="preserve">). </w:t>
      </w:r>
      <w:r w:rsidRPr="003D3F25">
        <w:t>Effective word-problem instruction: Using schemas to facilitate mathematical reasoning.</w:t>
      </w:r>
      <w:r w:rsidRPr="4313D9BC">
        <w:rPr>
          <w:i/>
          <w:iCs/>
        </w:rPr>
        <w:t xml:space="preserve"> </w:t>
      </w:r>
      <w:r>
        <w:rPr>
          <w:i/>
          <w:iCs/>
        </w:rPr>
        <w:t xml:space="preserve">Teaching Exceptional </w:t>
      </w:r>
      <w:r w:rsidRPr="007B6BA7">
        <w:rPr>
          <w:i/>
          <w:iCs/>
        </w:rPr>
        <w:t>Children, 51</w:t>
      </w:r>
      <w:r>
        <w:t>, 31</w:t>
      </w:r>
      <w:r w:rsidRPr="4313D9BC">
        <w:rPr>
          <w:rFonts w:eastAsia="MS Mincho"/>
          <w:lang w:eastAsia="ja-JP"/>
        </w:rPr>
        <w:t>–</w:t>
      </w:r>
      <w:r>
        <w:rPr>
          <w:rFonts w:eastAsia="MS Mincho"/>
          <w:lang w:eastAsia="ja-JP"/>
        </w:rPr>
        <w:t xml:space="preserve">42. </w:t>
      </w:r>
      <w:hyperlink r:id="rId19" w:history="1">
        <w:r w:rsidRPr="006239EE">
          <w:rPr>
            <w:rStyle w:val="Hyperlink"/>
          </w:rPr>
          <w:t>https://doi.org/10.1177/0040059918777250</w:t>
        </w:r>
      </w:hyperlink>
    </w:p>
    <w:p w14:paraId="0FDC8F23" w14:textId="1E6DB148" w:rsidR="00346BFE" w:rsidRPr="00346BFE" w:rsidRDefault="00346BFE" w:rsidP="00346BFE">
      <w:pPr>
        <w:ind w:left="720" w:hanging="720"/>
        <w:rPr>
          <w:lang w:val="pt-BR"/>
        </w:rPr>
      </w:pPr>
      <w:r w:rsidRPr="00EA0EA9">
        <w:rPr>
          <w:lang w:val="it-IT"/>
        </w:rPr>
        <w:t>Riccomini, P. J., Stocker, J</w:t>
      </w:r>
      <w:r>
        <w:rPr>
          <w:lang w:val="it-IT"/>
        </w:rPr>
        <w:t xml:space="preserve">. D., &amp; Morano, S. (2017). </w:t>
      </w:r>
      <w:r w:rsidRPr="00EA0EA9">
        <w:t>Implementing an effective mathematics fact fl</w:t>
      </w:r>
      <w:r>
        <w:t>ue</w:t>
      </w:r>
      <w:r w:rsidRPr="00EA0EA9">
        <w:t>ncy prac</w:t>
      </w:r>
      <w:r>
        <w:t xml:space="preserve">tice activity. </w:t>
      </w:r>
      <w:r>
        <w:rPr>
          <w:i/>
          <w:iCs/>
        </w:rPr>
        <w:t>Teaching Exceptional Children, 49</w:t>
      </w:r>
      <w:r>
        <w:t>, 318</w:t>
      </w:r>
      <w:r w:rsidRPr="00437AFE">
        <w:t>–</w:t>
      </w:r>
      <w:r>
        <w:t xml:space="preserve">327. </w:t>
      </w:r>
      <w:hyperlink r:id="rId20" w:history="1">
        <w:r w:rsidRPr="00EA0EA9">
          <w:rPr>
            <w:rStyle w:val="Hyperlink"/>
            <w:lang w:val="pt-BR"/>
          </w:rPr>
          <w:t>https://doi.org/10.1177/0040059916684053</w:t>
        </w:r>
      </w:hyperlink>
    </w:p>
    <w:p w14:paraId="51581209" w14:textId="3AF97A7B" w:rsidR="00437AFE" w:rsidRDefault="00437AFE" w:rsidP="00437AFE">
      <w:pPr>
        <w:ind w:left="720" w:hanging="720"/>
      </w:pPr>
      <w:r>
        <w:t>*</w:t>
      </w:r>
      <w:r w:rsidRPr="00437AFE">
        <w:t xml:space="preserve">Woodward, J., Beckmann, S., Driscoll, M., Franke, M., Herzig, P., Jitendra, </w:t>
      </w:r>
      <w:proofErr w:type="spellStart"/>
      <w:r w:rsidRPr="00437AFE">
        <w:t>A.,..Ogbuehi</w:t>
      </w:r>
      <w:proofErr w:type="spellEnd"/>
      <w:r w:rsidRPr="00437AFE">
        <w:t xml:space="preserve">, P. (2012). </w:t>
      </w:r>
      <w:r w:rsidRPr="00437AFE">
        <w:rPr>
          <w:i/>
          <w:iCs/>
        </w:rPr>
        <w:t xml:space="preserve">Improving mathematical problem solving in grades 4 through 8. </w:t>
      </w:r>
      <w:r w:rsidRPr="00437AFE">
        <w:t xml:space="preserve">Washington, DC: National Center for Education Evaluation and Regional Assistance, Institute of Education Sciences, U.S. Department of Education. </w:t>
      </w:r>
      <w:hyperlink r:id="rId21" w:history="1">
        <w:r w:rsidRPr="006239EE">
          <w:rPr>
            <w:rStyle w:val="Hyperlink"/>
          </w:rPr>
          <w:t>https://ies.ed.gov/ncee/wwc/Docs/PracticeGuide/mps_pg_052212.pdf</w:t>
        </w:r>
      </w:hyperlink>
    </w:p>
    <w:p w14:paraId="5ACBBD65" w14:textId="77777777" w:rsidR="00437AFE" w:rsidRDefault="00437AFE"/>
    <w:p w14:paraId="552DC1DA" w14:textId="77777777" w:rsidR="00437AFE" w:rsidRPr="00437AFE" w:rsidRDefault="00437AFE" w:rsidP="001B253B">
      <w:pPr>
        <w:pStyle w:val="Heading1"/>
      </w:pPr>
      <w:r>
        <w:t>Module 6</w:t>
      </w:r>
    </w:p>
    <w:p w14:paraId="5772B331" w14:textId="77777777" w:rsidR="00437AFE" w:rsidRDefault="00437AFE" w:rsidP="00437AFE">
      <w:pPr>
        <w:ind w:left="720" w:hanging="720"/>
      </w:pPr>
      <w:r>
        <w:t>*</w:t>
      </w:r>
      <w:r w:rsidRPr="00437AFE">
        <w:t>Powell, S. R., &amp; Fuchs, L. S. (2012). Early numerical competencies and students with mathematics difficulty. </w:t>
      </w:r>
      <w:r w:rsidRPr="00437AFE">
        <w:rPr>
          <w:i/>
          <w:iCs/>
        </w:rPr>
        <w:t>Focus on Exceptional Children, 44</w:t>
      </w:r>
      <w:r w:rsidRPr="00437AFE">
        <w:t>(5), 1–16.</w:t>
      </w:r>
    </w:p>
    <w:p w14:paraId="477231DF" w14:textId="77777777" w:rsidR="00967C54" w:rsidRDefault="00967C54" w:rsidP="00967C54">
      <w:pPr>
        <w:ind w:left="720" w:hanging="720"/>
      </w:pPr>
      <w:r>
        <w:rPr>
          <w:lang w:val="pt-BR"/>
        </w:rPr>
        <w:lastRenderedPageBreak/>
        <w:t xml:space="preserve">Powell, S. R., Fuchs, L. S., &amp; Fuchs, D. (2010). Embedding number combinations practice within word-problem tutoring. </w:t>
      </w:r>
      <w:r>
        <w:rPr>
          <w:i/>
          <w:lang w:val="pt-BR"/>
        </w:rPr>
        <w:t>Intervention in School and Clinic, 46</w:t>
      </w:r>
      <w:r>
        <w:rPr>
          <w:lang w:val="pt-BR"/>
        </w:rPr>
        <w:t>, 22</w:t>
      </w:r>
      <w:r w:rsidRPr="00437AFE">
        <w:t>–</w:t>
      </w:r>
      <w:r>
        <w:t xml:space="preserve">30. </w:t>
      </w:r>
      <w:hyperlink r:id="rId22" w:history="1">
        <w:r w:rsidRPr="007E0A61">
          <w:rPr>
            <w:rStyle w:val="Hyperlink"/>
          </w:rPr>
          <w:t>https://doi.org/10.1177/1053451210369516</w:t>
        </w:r>
      </w:hyperlink>
    </w:p>
    <w:p w14:paraId="572A23E7" w14:textId="4ADE265A" w:rsidR="00437AFE" w:rsidRPr="00437AFE" w:rsidRDefault="00437AFE" w:rsidP="00967C54">
      <w:pPr>
        <w:ind w:left="720" w:hanging="720"/>
      </w:pPr>
      <w:r w:rsidRPr="00EA0EA9">
        <w:rPr>
          <w:lang w:val="pt-BR"/>
        </w:rPr>
        <w:t xml:space="preserve">Witzel, B. S., Ferguson, C. J., &amp; Mink, D. V. (2012). </w:t>
      </w:r>
      <w:r>
        <w:t xml:space="preserve">Number sense: Strategies for helping preschool through grade 3 children develop math skills. </w:t>
      </w:r>
      <w:r>
        <w:rPr>
          <w:i/>
          <w:iCs/>
        </w:rPr>
        <w:t>Young Children, 67</w:t>
      </w:r>
      <w:r>
        <w:t>(3), 89</w:t>
      </w:r>
      <w:r w:rsidRPr="00437AFE">
        <w:t>–</w:t>
      </w:r>
      <w:r>
        <w:t xml:space="preserve">94. </w:t>
      </w:r>
    </w:p>
    <w:p w14:paraId="06B02C37" w14:textId="77777777" w:rsidR="00437AFE" w:rsidRDefault="00437AFE"/>
    <w:p w14:paraId="2F9CDE8C" w14:textId="77777777" w:rsidR="00437AFE" w:rsidRPr="00437AFE" w:rsidRDefault="00437AFE" w:rsidP="001B253B">
      <w:pPr>
        <w:pStyle w:val="Heading1"/>
      </w:pPr>
      <w:r>
        <w:t>Module 7</w:t>
      </w:r>
    </w:p>
    <w:p w14:paraId="30126CEA" w14:textId="77777777" w:rsidR="00EA0EA9" w:rsidRDefault="00EA0EA9" w:rsidP="00EA0EA9">
      <w:pPr>
        <w:ind w:left="720" w:hanging="720"/>
      </w:pPr>
      <w:r>
        <w:t xml:space="preserve">Dougherty, B., Bryant, D. P., Bryant, B. R., &amp; Shin, M. (2017). Helping students with mathematics difficulties understand ratios and proportions. </w:t>
      </w:r>
      <w:r>
        <w:rPr>
          <w:i/>
          <w:iCs/>
        </w:rPr>
        <w:t>Teaching Exceptional Children, 49</w:t>
      </w:r>
      <w:r>
        <w:t>, 96</w:t>
      </w:r>
      <w:r w:rsidRPr="00437AFE">
        <w:t>–</w:t>
      </w:r>
      <w:r>
        <w:t xml:space="preserve">105. </w:t>
      </w:r>
      <w:hyperlink r:id="rId23" w:history="1">
        <w:r w:rsidRPr="006239EE">
          <w:rPr>
            <w:rStyle w:val="Hyperlink"/>
          </w:rPr>
          <w:t>https://doi.org/10.1177/0040059916674897</w:t>
        </w:r>
      </w:hyperlink>
    </w:p>
    <w:p w14:paraId="4DE90E7F" w14:textId="77777777" w:rsidR="00EA0EA9" w:rsidRDefault="00EA0EA9" w:rsidP="00EA0EA9">
      <w:pPr>
        <w:ind w:left="720" w:hanging="720"/>
      </w:pPr>
      <w:r>
        <w:t xml:space="preserve">Rodrigues, J., Dyson, N. I., Hansen, N., &amp; Jordan, N. C. (2017). Preparing for algebra by building fraction sense. </w:t>
      </w:r>
      <w:r>
        <w:rPr>
          <w:i/>
          <w:iCs/>
        </w:rPr>
        <w:t>Teaching Exceptional Children, 49</w:t>
      </w:r>
      <w:r>
        <w:t>, 134</w:t>
      </w:r>
      <w:r w:rsidRPr="00437AFE">
        <w:t>–</w:t>
      </w:r>
      <w:r>
        <w:t xml:space="preserve">141. </w:t>
      </w:r>
      <w:hyperlink r:id="rId24" w:history="1">
        <w:r w:rsidRPr="006239EE">
          <w:rPr>
            <w:rStyle w:val="Hyperlink"/>
          </w:rPr>
          <w:t>https://doi.org/10.1177/0040059916674326</w:t>
        </w:r>
      </w:hyperlink>
    </w:p>
    <w:p w14:paraId="00DDEE8A" w14:textId="77777777" w:rsidR="00437AFE" w:rsidRDefault="00437AFE" w:rsidP="00EA0EA9">
      <w:pPr>
        <w:ind w:left="720" w:hanging="720"/>
      </w:pPr>
      <w:r>
        <w:t>*</w:t>
      </w:r>
      <w:r w:rsidRPr="00437AFE">
        <w:t xml:space="preserve">Siegler, R., Carpenter, T., Fennell, F., Geary, D., Lewis, J., Okamoto, Y.,…Wray, J. (2010). </w:t>
      </w:r>
      <w:r w:rsidRPr="00437AFE">
        <w:rPr>
          <w:i/>
          <w:iCs/>
        </w:rPr>
        <w:t xml:space="preserve">Developing effective fractions instruction from kindergarten through 8th grade. </w:t>
      </w:r>
      <w:r w:rsidRPr="00437AFE">
        <w:t>Washington, DC: National Center for Education Evaluation and Regional Assistance, Institute of Education Sciences, U.S. Department of Education.</w:t>
      </w:r>
      <w:r>
        <w:t xml:space="preserve"> </w:t>
      </w:r>
      <w:hyperlink r:id="rId25" w:history="1">
        <w:r w:rsidRPr="006239EE">
          <w:rPr>
            <w:rStyle w:val="Hyperlink"/>
          </w:rPr>
          <w:t>https://ies.ed.gov/ncee/wwc/Docs/PracticeGuide/fractions_pg_093010.pdf</w:t>
        </w:r>
      </w:hyperlink>
    </w:p>
    <w:p w14:paraId="5D14D3C9" w14:textId="77777777" w:rsidR="00437AFE" w:rsidRPr="00437AFE" w:rsidRDefault="00437AFE" w:rsidP="00437AFE">
      <w:pPr>
        <w:ind w:left="720" w:hanging="720"/>
      </w:pPr>
    </w:p>
    <w:p w14:paraId="030DB3F2" w14:textId="77777777" w:rsidR="00437AFE" w:rsidRPr="00EA0EA9" w:rsidRDefault="00437AFE" w:rsidP="001B253B">
      <w:pPr>
        <w:pStyle w:val="Heading1"/>
        <w:rPr>
          <w:lang w:val="fr-FR"/>
        </w:rPr>
      </w:pPr>
      <w:r w:rsidRPr="00EA0EA9">
        <w:rPr>
          <w:lang w:val="fr-FR"/>
        </w:rPr>
        <w:t>Module 8</w:t>
      </w:r>
    </w:p>
    <w:p w14:paraId="3FBCF566" w14:textId="77777777" w:rsidR="00EA0EA9" w:rsidRDefault="00EA0EA9" w:rsidP="00EA0EA9">
      <w:pPr>
        <w:ind w:left="720" w:hanging="720"/>
      </w:pPr>
      <w:r w:rsidRPr="00EA0EA9">
        <w:rPr>
          <w:lang w:val="fr-FR"/>
        </w:rPr>
        <w:t>Doabler, C. T., Nelson, N. J., &amp; Clar</w:t>
      </w:r>
      <w:r>
        <w:rPr>
          <w:lang w:val="fr-FR"/>
        </w:rPr>
        <w:t xml:space="preserve">ke, B. (2016). </w:t>
      </w:r>
      <w:r w:rsidRPr="00EA0EA9">
        <w:t xml:space="preserve">Adapting evidence-based practices to meet the needs of English learners with mathematics difficulties. </w:t>
      </w:r>
      <w:r>
        <w:rPr>
          <w:i/>
          <w:iCs/>
        </w:rPr>
        <w:t>Teaching Exceptional Children, 48</w:t>
      </w:r>
      <w:r>
        <w:t>, 301</w:t>
      </w:r>
      <w:r w:rsidRPr="00437AFE">
        <w:t>–</w:t>
      </w:r>
      <w:r>
        <w:t xml:space="preserve">310. </w:t>
      </w:r>
      <w:hyperlink r:id="rId26" w:history="1">
        <w:r w:rsidRPr="006239EE">
          <w:rPr>
            <w:rStyle w:val="Hyperlink"/>
          </w:rPr>
          <w:t>https://doi.org/10.1177/0040059916650638</w:t>
        </w:r>
      </w:hyperlink>
    </w:p>
    <w:p w14:paraId="08F57B75" w14:textId="4C8DF937" w:rsidR="00967C54" w:rsidRDefault="00967C54" w:rsidP="00967C54">
      <w:pPr>
        <w:ind w:left="720" w:hanging="720"/>
      </w:pPr>
      <w:r>
        <w:t xml:space="preserve">Fuchs, L. S., Fuchs, D., &amp; Malone, A. S. (2017). The taxonomy of intervention intensity. </w:t>
      </w:r>
      <w:r>
        <w:rPr>
          <w:i/>
        </w:rPr>
        <w:t>Teaching Exceptional Children, 50</w:t>
      </w:r>
      <w:r>
        <w:t>, 35</w:t>
      </w:r>
      <w:r w:rsidRPr="00437AFE">
        <w:t>–</w:t>
      </w:r>
      <w:r>
        <w:t xml:space="preserve">43. </w:t>
      </w:r>
      <w:hyperlink r:id="rId27" w:history="1">
        <w:r w:rsidRPr="007E0A61">
          <w:rPr>
            <w:rStyle w:val="Hyperlink"/>
          </w:rPr>
          <w:t>https://doi.org/10.1177/0040059917703962</w:t>
        </w:r>
      </w:hyperlink>
    </w:p>
    <w:p w14:paraId="4F1F2385" w14:textId="07209B61" w:rsidR="00437AFE" w:rsidRDefault="00437AFE" w:rsidP="00967C54">
      <w:pPr>
        <w:ind w:left="720" w:hanging="720"/>
      </w:pPr>
      <w:r>
        <w:t>*</w:t>
      </w:r>
      <w:r w:rsidRPr="00437AFE">
        <w:t xml:space="preserve">Powell, S. R., &amp; Fuchs, L. S. (2015). Intensive intervention in mathematics. </w:t>
      </w:r>
      <w:r w:rsidRPr="00437AFE">
        <w:rPr>
          <w:i/>
          <w:iCs/>
        </w:rPr>
        <w:t>Learning Disabilities Research and Practice, 30</w:t>
      </w:r>
      <w:r w:rsidRPr="00437AFE">
        <w:t xml:space="preserve">, 182–192. </w:t>
      </w:r>
      <w:hyperlink r:id="rId28" w:history="1">
        <w:r w:rsidRPr="006239EE">
          <w:rPr>
            <w:rStyle w:val="Hyperlink"/>
          </w:rPr>
          <w:t>https://doi.org/10.1111/ldrp.12087</w:t>
        </w:r>
      </w:hyperlink>
    </w:p>
    <w:p w14:paraId="78A29182" w14:textId="77777777" w:rsidR="00437AFE" w:rsidRPr="00437AFE" w:rsidRDefault="00437AFE" w:rsidP="00437AFE">
      <w:pPr>
        <w:ind w:left="720" w:hanging="720"/>
      </w:pPr>
    </w:p>
    <w:p w14:paraId="0FB53386" w14:textId="77777777" w:rsidR="00437AFE" w:rsidRDefault="00437AFE" w:rsidP="00437AFE">
      <w:pPr>
        <w:ind w:left="720" w:hanging="720"/>
      </w:pPr>
    </w:p>
    <w:sectPr w:rsidR="00437AFE" w:rsidSect="001578D9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C9216" w14:textId="77777777" w:rsidR="001B253B" w:rsidRDefault="001B253B" w:rsidP="001B253B">
      <w:r>
        <w:separator/>
      </w:r>
    </w:p>
  </w:endnote>
  <w:endnote w:type="continuationSeparator" w:id="0">
    <w:p w14:paraId="51A2BD8B" w14:textId="77777777" w:rsidR="001B253B" w:rsidRDefault="001B253B" w:rsidP="001B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A66AF" w14:textId="6046A1B0" w:rsidR="005734A2" w:rsidRDefault="005734A2">
    <w:pPr>
      <w:pStyle w:val="Footer"/>
    </w:pPr>
    <w:r>
      <w:rPr>
        <w:noProof/>
      </w:rPr>
      <w:drawing>
        <wp:inline distT="0" distB="0" distL="0" distR="0" wp14:anchorId="10B5D966" wp14:editId="1AE9590A">
          <wp:extent cx="5943600" cy="716915"/>
          <wp:effectExtent l="0" t="0" r="0" b="6985"/>
          <wp:docPr id="3" name="Picture 3" descr="NCII and UConn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6E08B" w14:textId="77777777" w:rsidR="001B253B" w:rsidRDefault="001B253B" w:rsidP="001B253B">
      <w:r>
        <w:separator/>
      </w:r>
    </w:p>
  </w:footnote>
  <w:footnote w:type="continuationSeparator" w:id="0">
    <w:p w14:paraId="5FC30937" w14:textId="77777777" w:rsidR="001B253B" w:rsidRDefault="001B253B" w:rsidP="001B2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21"/>
    <w:rsid w:val="001578D9"/>
    <w:rsid w:val="001B253B"/>
    <w:rsid w:val="00346BFE"/>
    <w:rsid w:val="00425F2F"/>
    <w:rsid w:val="00437AFE"/>
    <w:rsid w:val="005734A2"/>
    <w:rsid w:val="00645E21"/>
    <w:rsid w:val="00931D46"/>
    <w:rsid w:val="00967C54"/>
    <w:rsid w:val="00B26C24"/>
    <w:rsid w:val="00B36522"/>
    <w:rsid w:val="00B46E4F"/>
    <w:rsid w:val="00D6397C"/>
    <w:rsid w:val="00E01196"/>
    <w:rsid w:val="00EA0EA9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98ED"/>
  <w14:defaultImageDpi w14:val="32767"/>
  <w15:chartTrackingRefBased/>
  <w15:docId w15:val="{D9C3ABD7-9FB2-5B49-BD70-4E51AF6C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5E21"/>
  </w:style>
  <w:style w:type="paragraph" w:styleId="Heading1">
    <w:name w:val="heading 1"/>
    <w:basedOn w:val="Normal"/>
    <w:next w:val="Normal"/>
    <w:link w:val="Heading1Char"/>
    <w:uiPriority w:val="9"/>
    <w:qFormat/>
    <w:rsid w:val="001B25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A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AF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B25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2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53B"/>
  </w:style>
  <w:style w:type="paragraph" w:styleId="Footer">
    <w:name w:val="footer"/>
    <w:basedOn w:val="Normal"/>
    <w:link w:val="FooterChar"/>
    <w:uiPriority w:val="99"/>
    <w:unhideWhenUsed/>
    <w:rsid w:val="001B2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ldrp.12001" TargetMode="External"/><Relationship Id="rId13" Type="http://schemas.openxmlformats.org/officeDocument/2006/relationships/hyperlink" Target="https://doi.org/10.1111/ldrp.12103" TargetMode="External"/><Relationship Id="rId18" Type="http://schemas.openxmlformats.org/officeDocument/2006/relationships/hyperlink" Target="https://doi.org/10.1177/1053451208314734" TargetMode="External"/><Relationship Id="rId26" Type="http://schemas.openxmlformats.org/officeDocument/2006/relationships/hyperlink" Target="https://doi.org/10.1177/00400599166506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es.ed.gov/ncee/wwc/Docs/PracticeGuide/mps_pg_052212.pdf" TargetMode="External"/><Relationship Id="rId7" Type="http://schemas.openxmlformats.org/officeDocument/2006/relationships/hyperlink" Target="https://ies.ed.gov/ncee/wwc/Docs/PracticeGuide/rti_math_pg_042109.pdf" TargetMode="External"/><Relationship Id="rId12" Type="http://schemas.openxmlformats.org/officeDocument/2006/relationships/hyperlink" Target="https://doi.org/10.1177/004005991204400405" TargetMode="External"/><Relationship Id="rId17" Type="http://schemas.openxmlformats.org/officeDocument/2006/relationships/hyperlink" Target="https://doi.org/10.1177/0040059918758151" TargetMode="External"/><Relationship Id="rId25" Type="http://schemas.openxmlformats.org/officeDocument/2006/relationships/hyperlink" Target="https://ies.ed.gov/ncee/wwc/Docs/PracticeGuide/fractions_pg_09301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111/j.1540-5826.2007.00230.x" TargetMode="External"/><Relationship Id="rId20" Type="http://schemas.openxmlformats.org/officeDocument/2006/relationships/hyperlink" Target="https://doi.org/10.1177/0040059916684053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doi.org/10.1177/0040059916676794" TargetMode="External"/><Relationship Id="rId11" Type="http://schemas.openxmlformats.org/officeDocument/2006/relationships/hyperlink" Target="https://doi.org/10.1177/875687050802700403" TargetMode="External"/><Relationship Id="rId24" Type="http://schemas.openxmlformats.org/officeDocument/2006/relationships/hyperlink" Target="https://doi.org/10.1177/004005991667432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i.org/10.1177/0040059918808762" TargetMode="External"/><Relationship Id="rId23" Type="http://schemas.openxmlformats.org/officeDocument/2006/relationships/hyperlink" Target="https://doi.org/10.1177/0040059916674897" TargetMode="External"/><Relationship Id="rId28" Type="http://schemas.openxmlformats.org/officeDocument/2006/relationships/hyperlink" Target="https://doi.org/10.1111/ldrp.12087" TargetMode="External"/><Relationship Id="rId10" Type="http://schemas.openxmlformats.org/officeDocument/2006/relationships/hyperlink" Target="https://doi.org/10.1177/00224669070410020101" TargetMode="External"/><Relationship Id="rId19" Type="http://schemas.openxmlformats.org/officeDocument/2006/relationships/hyperlink" Target="https://doi.org/10.1177/0040059918777250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oi.org/10.1177/0040059914523735" TargetMode="External"/><Relationship Id="rId14" Type="http://schemas.openxmlformats.org/officeDocument/2006/relationships/hyperlink" Target="https://doi.org/10.1111/ldrp.12087" TargetMode="External"/><Relationship Id="rId22" Type="http://schemas.openxmlformats.org/officeDocument/2006/relationships/hyperlink" Target="https://doi.org/10.1177/1053451210369516" TargetMode="External"/><Relationship Id="rId27" Type="http://schemas.openxmlformats.org/officeDocument/2006/relationships/hyperlink" Target="https://doi.org/10.1177/0040059917703962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Marx, Teri</cp:lastModifiedBy>
  <cp:revision>6</cp:revision>
  <dcterms:created xsi:type="dcterms:W3CDTF">2019-02-21T14:11:00Z</dcterms:created>
  <dcterms:modified xsi:type="dcterms:W3CDTF">2019-05-24T15:40:00Z</dcterms:modified>
</cp:coreProperties>
</file>