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038322" w14:textId="7529542E" w:rsidR="00B2284F" w:rsidRDefault="00B90CB1">
      <w:pPr>
        <w:rPr>
          <w:b/>
          <w:bCs/>
          <w:color w:val="002060"/>
          <w:sz w:val="56"/>
          <w:szCs w:val="56"/>
        </w:rPr>
      </w:pPr>
      <w:r>
        <w:rPr>
          <w:b/>
          <w:bCs/>
          <w:color w:val="002060"/>
          <w:sz w:val="56"/>
          <w:szCs w:val="56"/>
        </w:rPr>
        <w:t xml:space="preserve">Assess with Purpose: Student Focused Assessments for the Synchronous and Asynchronous Learner </w:t>
      </w:r>
    </w:p>
    <w:p w14:paraId="4D8F63F8" w14:textId="77777777" w:rsidR="00B90CB1" w:rsidRPr="00CC67B6" w:rsidRDefault="00B90CB1">
      <w:pPr>
        <w:rPr>
          <w:color w:val="002060"/>
          <w:sz w:val="56"/>
          <w:szCs w:val="56"/>
        </w:rPr>
      </w:pPr>
    </w:p>
    <w:p w14:paraId="2F099977" w14:textId="61F99C91" w:rsidR="00B2284F" w:rsidRDefault="007A1A3F" w:rsidP="3ABE6EBA">
      <w:pPr>
        <w:jc w:val="center"/>
      </w:pPr>
      <w:r>
        <w:rPr>
          <w:noProof/>
        </w:rPr>
        <w:drawing>
          <wp:inline distT="0" distB="0" distL="0" distR="0" wp14:anchorId="369337B1" wp14:editId="192389BB">
            <wp:extent cx="4429125" cy="1428750"/>
            <wp:effectExtent l="0" t="0" r="0" b="0"/>
            <wp:docPr id="311352221" name="Picture 311352221" descr="STAIR logo: Supporting Teaching of Algebra: Individual Readi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4429125" cy="1428750"/>
                    </a:xfrm>
                    <a:prstGeom prst="rect">
                      <a:avLst/>
                    </a:prstGeom>
                  </pic:spPr>
                </pic:pic>
              </a:graphicData>
            </a:graphic>
          </wp:inline>
        </w:drawing>
      </w:r>
    </w:p>
    <w:p w14:paraId="109F072B" w14:textId="0C63BD94" w:rsidR="009737FA" w:rsidRDefault="009737FA" w:rsidP="00B2284F">
      <w:pPr>
        <w:jc w:val="center"/>
      </w:pPr>
    </w:p>
    <w:p w14:paraId="5E8C2A34" w14:textId="6F7E3C75" w:rsidR="00CC67B6" w:rsidRPr="00CC67B6" w:rsidRDefault="00CC67B6" w:rsidP="00CC67B6">
      <w:pPr>
        <w:jc w:val="center"/>
        <w:rPr>
          <w:b/>
          <w:bCs/>
          <w:color w:val="002060"/>
          <w:sz w:val="48"/>
          <w:szCs w:val="48"/>
        </w:rPr>
      </w:pPr>
      <w:r w:rsidRPr="00CC67B6">
        <w:rPr>
          <w:b/>
          <w:bCs/>
          <w:color w:val="002060"/>
          <w:sz w:val="48"/>
          <w:szCs w:val="48"/>
        </w:rPr>
        <w:t>Project STAIR</w:t>
      </w:r>
    </w:p>
    <w:p w14:paraId="7DE2E619" w14:textId="731D6FA7" w:rsidR="00490A81" w:rsidRPr="00CC67B6" w:rsidRDefault="23B12BCF" w:rsidP="23B12BCF">
      <w:pPr>
        <w:jc w:val="center"/>
        <w:rPr>
          <w:b/>
          <w:bCs/>
          <w:color w:val="002060"/>
          <w:sz w:val="48"/>
          <w:szCs w:val="48"/>
        </w:rPr>
      </w:pPr>
      <w:r w:rsidRPr="23B12BCF">
        <w:rPr>
          <w:b/>
          <w:bCs/>
          <w:color w:val="002060"/>
          <w:sz w:val="48"/>
          <w:szCs w:val="48"/>
        </w:rPr>
        <w:t xml:space="preserve">Assessments for DBI Webinar: </w:t>
      </w:r>
    </w:p>
    <w:p w14:paraId="315EE1B6" w14:textId="780D271A" w:rsidR="00490A81" w:rsidRPr="00CC67B6" w:rsidRDefault="23B12BCF" w:rsidP="00490A81">
      <w:pPr>
        <w:jc w:val="center"/>
        <w:rPr>
          <w:b/>
          <w:bCs/>
          <w:color w:val="002060"/>
          <w:sz w:val="48"/>
          <w:szCs w:val="48"/>
        </w:rPr>
      </w:pPr>
      <w:r w:rsidRPr="23B12BCF">
        <w:rPr>
          <w:b/>
          <w:bCs/>
          <w:color w:val="FF0000"/>
          <w:sz w:val="48"/>
          <w:szCs w:val="48"/>
        </w:rPr>
        <w:t>Facilitator’s Guide</w:t>
      </w:r>
    </w:p>
    <w:p w14:paraId="1221AFB8" w14:textId="77777777" w:rsidR="00490A81" w:rsidRDefault="00490A81" w:rsidP="00490A81"/>
    <w:p w14:paraId="58136A46" w14:textId="68A80DAE" w:rsidR="00B2284F" w:rsidRDefault="00B2284F" w:rsidP="00B2284F">
      <w:pPr>
        <w:jc w:val="right"/>
      </w:pPr>
      <w:r>
        <w:t>October 2020</w:t>
      </w:r>
    </w:p>
    <w:p w14:paraId="71CC1D69" w14:textId="77777777" w:rsidR="00B2284F" w:rsidRDefault="00B2284F" w:rsidP="00B2284F"/>
    <w:p w14:paraId="2709CDDE" w14:textId="6706310C" w:rsidR="00490A81" w:rsidRDefault="00B2284F" w:rsidP="00490A81">
      <w:r w:rsidRPr="00B2284F">
        <w:t>Funded by the Office of Special Education Programs of the U.S. Department of Education, #H326M170006</w:t>
      </w:r>
    </w:p>
    <w:p w14:paraId="7394852E" w14:textId="23C61E2A" w:rsidR="00490A81" w:rsidRDefault="00490A81" w:rsidP="00490A81"/>
    <w:p w14:paraId="12169CAE" w14:textId="77777777" w:rsidR="00490A81" w:rsidRPr="00490A81" w:rsidRDefault="00490A81" w:rsidP="00490A81"/>
    <w:p w14:paraId="6B14E284" w14:textId="64843A4C" w:rsidR="00B2284F" w:rsidRDefault="00490A81" w:rsidP="00CC67B6">
      <w:pPr>
        <w:jc w:val="center"/>
      </w:pPr>
      <w:r w:rsidRPr="005A09AF">
        <w:rPr>
          <w:noProof/>
        </w:rPr>
        <w:drawing>
          <wp:inline distT="0" distB="0" distL="0" distR="0" wp14:anchorId="5BF04F9D" wp14:editId="6D0520E6">
            <wp:extent cx="825437" cy="514985"/>
            <wp:effectExtent l="0" t="0" r="635" b="5715"/>
            <wp:docPr id="18" name="Picture 40" descr="IDEAs that Work: Office of Special Education Programs US Department of Education">
              <a:extLst xmlns:a="http://schemas.openxmlformats.org/drawingml/2006/main">
                <a:ext uri="{FF2B5EF4-FFF2-40B4-BE49-F238E27FC236}">
                  <a16:creationId xmlns:a16="http://schemas.microsoft.com/office/drawing/2014/main" id="{FE610322-E538-8E49-B1F3-FB14AF1B89F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0" descr="A screenshot of a cell phone&#10;&#10;Description automatically generated">
                      <a:extLst>
                        <a:ext uri="{FF2B5EF4-FFF2-40B4-BE49-F238E27FC236}">
                          <a16:creationId xmlns:a16="http://schemas.microsoft.com/office/drawing/2014/main" id="{FE610322-E538-8E49-B1F3-FB14AF1B89FA}"/>
                        </a:ext>
                      </a:extLst>
                    </pic:cNvPr>
                    <pic:cNvPicPr>
                      <a:picLocks noChangeAspect="1"/>
                    </pic:cNvPicPr>
                  </pic:nvPicPr>
                  <pic:blipFill>
                    <a:blip r:embed="rId11"/>
                    <a:stretch>
                      <a:fillRect/>
                    </a:stretch>
                  </pic:blipFill>
                  <pic:spPr>
                    <a:xfrm>
                      <a:off x="0" y="0"/>
                      <a:ext cx="853452" cy="532464"/>
                    </a:xfrm>
                    <a:prstGeom prst="rect">
                      <a:avLst/>
                    </a:prstGeom>
                  </pic:spPr>
                </pic:pic>
              </a:graphicData>
            </a:graphic>
          </wp:inline>
        </w:drawing>
      </w:r>
      <w:r w:rsidRPr="005A09AF">
        <w:rPr>
          <w:noProof/>
        </w:rPr>
        <w:drawing>
          <wp:inline distT="0" distB="0" distL="0" distR="0" wp14:anchorId="585AF838" wp14:editId="33DEE18B">
            <wp:extent cx="1625600" cy="406400"/>
            <wp:effectExtent l="0" t="0" r="0" b="0"/>
            <wp:docPr id="19" name="Picture 35" descr="University of Missouri College of Education">
              <a:extLst xmlns:a="http://schemas.openxmlformats.org/drawingml/2006/main">
                <a:ext uri="{FF2B5EF4-FFF2-40B4-BE49-F238E27FC236}">
                  <a16:creationId xmlns:a16="http://schemas.microsoft.com/office/drawing/2014/main" id="{80E03B63-1748-6449-A674-75176351681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5" descr="A close up of a logo&#10;&#10;Description automatically generated">
                      <a:extLst>
                        <a:ext uri="{FF2B5EF4-FFF2-40B4-BE49-F238E27FC236}">
                          <a16:creationId xmlns:a16="http://schemas.microsoft.com/office/drawing/2014/main" id="{80E03B63-1748-6449-A674-75176351681E}"/>
                        </a:ext>
                      </a:extLst>
                    </pic:cNvPr>
                    <pic:cNvPicPr>
                      <a:picLocks noChangeAspect="1"/>
                    </pic:cNvPicPr>
                  </pic:nvPicPr>
                  <pic:blipFill>
                    <a:blip r:embed="rId12"/>
                    <a:stretch>
                      <a:fillRect/>
                    </a:stretch>
                  </pic:blipFill>
                  <pic:spPr>
                    <a:xfrm>
                      <a:off x="0" y="0"/>
                      <a:ext cx="1716696" cy="429174"/>
                    </a:xfrm>
                    <a:prstGeom prst="rect">
                      <a:avLst/>
                    </a:prstGeom>
                  </pic:spPr>
                </pic:pic>
              </a:graphicData>
            </a:graphic>
          </wp:inline>
        </w:drawing>
      </w:r>
      <w:r w:rsidRPr="005A09AF">
        <w:rPr>
          <w:noProof/>
        </w:rPr>
        <w:drawing>
          <wp:inline distT="0" distB="0" distL="0" distR="0" wp14:anchorId="7841E09D" wp14:editId="29E8729A">
            <wp:extent cx="1556137" cy="383881"/>
            <wp:effectExtent l="0" t="0" r="0" b="0"/>
            <wp:docPr id="20" name="Picture 37" descr="SMU: Annette Caldwell Simmons School of Education and Human Development">
              <a:extLst xmlns:a="http://schemas.openxmlformats.org/drawingml/2006/main">
                <a:ext uri="{FF2B5EF4-FFF2-40B4-BE49-F238E27FC236}">
                  <a16:creationId xmlns:a16="http://schemas.microsoft.com/office/drawing/2014/main" id="{F6681990-947E-CF4A-888A-FDB1668BB5A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7" descr="A screen shot of a social media post&#10;&#10;Description automatically generated">
                      <a:extLst>
                        <a:ext uri="{FF2B5EF4-FFF2-40B4-BE49-F238E27FC236}">
                          <a16:creationId xmlns:a16="http://schemas.microsoft.com/office/drawing/2014/main" id="{F6681990-947E-CF4A-888A-FDB1668BB5A6}"/>
                        </a:ext>
                      </a:extLst>
                    </pic:cNvPr>
                    <pic:cNvPicPr>
                      <a:picLocks noChangeAspect="1"/>
                    </pic:cNvPicPr>
                  </pic:nvPicPr>
                  <pic:blipFill>
                    <a:blip r:embed="rId13"/>
                    <a:stretch>
                      <a:fillRect/>
                    </a:stretch>
                  </pic:blipFill>
                  <pic:spPr>
                    <a:xfrm>
                      <a:off x="0" y="0"/>
                      <a:ext cx="1740639" cy="429395"/>
                    </a:xfrm>
                    <a:prstGeom prst="rect">
                      <a:avLst/>
                    </a:prstGeom>
                  </pic:spPr>
                </pic:pic>
              </a:graphicData>
            </a:graphic>
          </wp:inline>
        </w:drawing>
      </w:r>
      <w:r w:rsidRPr="005A09AF">
        <w:rPr>
          <w:noProof/>
        </w:rPr>
        <w:drawing>
          <wp:inline distT="0" distB="0" distL="0" distR="0" wp14:anchorId="2F19F342" wp14:editId="011D6612">
            <wp:extent cx="1305535" cy="424048"/>
            <wp:effectExtent l="0" t="0" r="3175" b="0"/>
            <wp:docPr id="21" name="Picture 38" descr="The University of Texas at Austin">
              <a:extLst xmlns:a="http://schemas.openxmlformats.org/drawingml/2006/main">
                <a:ext uri="{FF2B5EF4-FFF2-40B4-BE49-F238E27FC236}">
                  <a16:creationId xmlns:a16="http://schemas.microsoft.com/office/drawing/2014/main" id="{A0D90FB1-97A2-BE41-8F28-FDCDFCCE55C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8" descr="A close up of a sign&#10;&#10;Description automatically generated">
                      <a:extLst>
                        <a:ext uri="{FF2B5EF4-FFF2-40B4-BE49-F238E27FC236}">
                          <a16:creationId xmlns:a16="http://schemas.microsoft.com/office/drawing/2014/main" id="{A0D90FB1-97A2-BE41-8F28-FDCDFCCE55C8}"/>
                        </a:ext>
                      </a:extLst>
                    </pic:cNvPr>
                    <pic:cNvPicPr>
                      <a:picLocks noChangeAspect="1"/>
                    </pic:cNvPicPr>
                  </pic:nvPicPr>
                  <pic:blipFill>
                    <a:blip r:embed="rId14"/>
                    <a:stretch>
                      <a:fillRect/>
                    </a:stretch>
                  </pic:blipFill>
                  <pic:spPr>
                    <a:xfrm>
                      <a:off x="0" y="0"/>
                      <a:ext cx="1372873" cy="445920"/>
                    </a:xfrm>
                    <a:prstGeom prst="rect">
                      <a:avLst/>
                    </a:prstGeom>
                  </pic:spPr>
                </pic:pic>
              </a:graphicData>
            </a:graphic>
          </wp:inline>
        </w:drawing>
      </w:r>
      <w:r w:rsidR="00B2284F">
        <w:br w:type="page"/>
      </w:r>
    </w:p>
    <w:p w14:paraId="26F8E80B" w14:textId="1B42C529" w:rsidR="003B14AA" w:rsidRDefault="007E2EB8">
      <w:r>
        <w:lastRenderedPageBreak/>
        <w:t>Data Based Individualization Webinar: Facilitator’s Guide</w:t>
      </w:r>
    </w:p>
    <w:p w14:paraId="547A8B09" w14:textId="7C34C1C4" w:rsidR="00251E40" w:rsidRDefault="00251E40"/>
    <w:p w14:paraId="0EFA72D1" w14:textId="3992B037" w:rsidR="00251E40" w:rsidRDefault="00251E40">
      <w:r>
        <w:t xml:space="preserve">A: Overarching Goal </w:t>
      </w:r>
    </w:p>
    <w:p w14:paraId="4B7F06C5" w14:textId="7457D04A" w:rsidR="001D5716" w:rsidRDefault="23B12BCF">
      <w:r>
        <w:t xml:space="preserve">This session is designed to provide participants with an understanding of universal screeners, progress monitoring, and diagnostic assessments when used within a data-based individualization (DBI) framework to support algebra readiness in the </w:t>
      </w:r>
      <w:r w:rsidR="003F0F0B">
        <w:t>m</w:t>
      </w:r>
      <w:r>
        <w:t xml:space="preserve">iddle </w:t>
      </w:r>
      <w:r w:rsidR="003F0F0B">
        <w:t>s</w:t>
      </w:r>
      <w:r>
        <w:t xml:space="preserve">chool classroom. </w:t>
      </w:r>
    </w:p>
    <w:p w14:paraId="4C7D0DED" w14:textId="748C2446" w:rsidR="00251E40" w:rsidRDefault="00251E40"/>
    <w:p w14:paraId="3F5886D8" w14:textId="2140165B" w:rsidR="00251E40" w:rsidRDefault="00251E40">
      <w:r>
        <w:t>B: Key Understandings</w:t>
      </w:r>
    </w:p>
    <w:p w14:paraId="32A66FF6" w14:textId="22EC97ED" w:rsidR="00251E40" w:rsidRDefault="001D5716">
      <w:r>
        <w:t xml:space="preserve">Participants will have a working understanding of how to use </w:t>
      </w:r>
      <w:r w:rsidR="00B90CB1">
        <w:t>synchronous and asynchronous assessments</w:t>
      </w:r>
      <w:r>
        <w:t xml:space="preserve"> in the virtual environment.</w:t>
      </w:r>
    </w:p>
    <w:p w14:paraId="6CE8F6BA" w14:textId="77777777" w:rsidR="001D5716" w:rsidRDefault="001D5716"/>
    <w:p w14:paraId="4EB8756C" w14:textId="404E33CF" w:rsidR="00251E40" w:rsidRDefault="00251E40">
      <w:r>
        <w:t>C: Session Objectives</w:t>
      </w:r>
    </w:p>
    <w:p w14:paraId="132657F4" w14:textId="47C44E92" w:rsidR="001D5716" w:rsidRDefault="23B12BCF" w:rsidP="001D5716">
      <w:pPr>
        <w:pStyle w:val="ListParagraph"/>
        <w:numPr>
          <w:ilvl w:val="0"/>
          <w:numId w:val="1"/>
        </w:numPr>
      </w:pPr>
      <w:r>
        <w:t xml:space="preserve">Understand assessments within the DBI framework and their relevance to algebraic readiness. </w:t>
      </w:r>
    </w:p>
    <w:p w14:paraId="665CBC91" w14:textId="03BE8BD3" w:rsidR="001D5716" w:rsidRDefault="23B12BCF" w:rsidP="001D5716">
      <w:pPr>
        <w:pStyle w:val="ListParagraph"/>
        <w:numPr>
          <w:ilvl w:val="0"/>
          <w:numId w:val="1"/>
        </w:numPr>
      </w:pPr>
      <w:r>
        <w:t xml:space="preserve">Understand key components of universal screeners, progress monitoring, and diagnostic assessments.  </w:t>
      </w:r>
    </w:p>
    <w:p w14:paraId="380C92E2" w14:textId="36C32F74" w:rsidR="001D5716" w:rsidRDefault="001D5716" w:rsidP="001D5716">
      <w:pPr>
        <w:pStyle w:val="ListParagraph"/>
        <w:numPr>
          <w:ilvl w:val="0"/>
          <w:numId w:val="1"/>
        </w:numPr>
      </w:pPr>
      <w:r>
        <w:t xml:space="preserve">Understand key components of </w:t>
      </w:r>
      <w:r w:rsidR="00B90CB1">
        <w:t xml:space="preserve">assessing in </w:t>
      </w:r>
      <w:r>
        <w:t xml:space="preserve">the virtual environment. </w:t>
      </w:r>
    </w:p>
    <w:p w14:paraId="498FB7B0" w14:textId="2986C82F" w:rsidR="00251E40" w:rsidRDefault="00251E40"/>
    <w:p w14:paraId="32BA8678" w14:textId="326E7C33" w:rsidR="00251E40" w:rsidRDefault="00251E40">
      <w:r>
        <w:t xml:space="preserve">Session </w:t>
      </w:r>
      <w:proofErr w:type="gramStart"/>
      <w:r>
        <w:t>at a glance</w:t>
      </w:r>
      <w:proofErr w:type="gramEnd"/>
    </w:p>
    <w:p w14:paraId="539F7576" w14:textId="276A0DE7" w:rsidR="00251E40" w:rsidRDefault="00251E40"/>
    <w:tbl>
      <w:tblPr>
        <w:tblStyle w:val="TableGrid"/>
        <w:tblW w:w="0" w:type="auto"/>
        <w:tblLook w:val="04A0" w:firstRow="1" w:lastRow="0" w:firstColumn="1" w:lastColumn="0" w:noHBand="0" w:noVBand="1"/>
      </w:tblPr>
      <w:tblGrid>
        <w:gridCol w:w="3116"/>
        <w:gridCol w:w="3117"/>
        <w:gridCol w:w="3117"/>
      </w:tblGrid>
      <w:tr w:rsidR="00251E40" w14:paraId="2BB7AFB8" w14:textId="77777777" w:rsidTr="23B12BCF">
        <w:tc>
          <w:tcPr>
            <w:tcW w:w="3116" w:type="dxa"/>
            <w:shd w:val="clear" w:color="auto" w:fill="B4C6E7" w:themeFill="accent1" w:themeFillTint="66"/>
          </w:tcPr>
          <w:p w14:paraId="1E0C8056" w14:textId="2AF64671" w:rsidR="00251E40" w:rsidRDefault="00251E40" w:rsidP="00251E40">
            <w:pPr>
              <w:jc w:val="center"/>
            </w:pPr>
            <w:r>
              <w:t xml:space="preserve">TIMING </w:t>
            </w:r>
          </w:p>
        </w:tc>
        <w:tc>
          <w:tcPr>
            <w:tcW w:w="3117" w:type="dxa"/>
            <w:shd w:val="clear" w:color="auto" w:fill="B4C6E7" w:themeFill="accent1" w:themeFillTint="66"/>
          </w:tcPr>
          <w:p w14:paraId="60A413B8" w14:textId="3F0ABFE5" w:rsidR="00251E40" w:rsidRDefault="00251E40" w:rsidP="00251E40">
            <w:pPr>
              <w:ind w:firstLine="720"/>
            </w:pPr>
            <w:r>
              <w:t xml:space="preserve">ACTIVITY </w:t>
            </w:r>
          </w:p>
        </w:tc>
        <w:tc>
          <w:tcPr>
            <w:tcW w:w="3117" w:type="dxa"/>
            <w:shd w:val="clear" w:color="auto" w:fill="B4C6E7" w:themeFill="accent1" w:themeFillTint="66"/>
          </w:tcPr>
          <w:p w14:paraId="119567B1" w14:textId="3D2C633D" w:rsidR="00251E40" w:rsidRDefault="00251E40">
            <w:r>
              <w:t xml:space="preserve">DESCRIPTION </w:t>
            </w:r>
          </w:p>
        </w:tc>
      </w:tr>
      <w:tr w:rsidR="00251E40" w14:paraId="20A8BA30" w14:textId="77777777" w:rsidTr="23B12BCF">
        <w:tc>
          <w:tcPr>
            <w:tcW w:w="3116" w:type="dxa"/>
          </w:tcPr>
          <w:p w14:paraId="40DCE515" w14:textId="0AD20D58" w:rsidR="00251E40" w:rsidRDefault="00C77C22">
            <w:r>
              <w:t>:00</w:t>
            </w:r>
          </w:p>
        </w:tc>
        <w:tc>
          <w:tcPr>
            <w:tcW w:w="3117" w:type="dxa"/>
          </w:tcPr>
          <w:p w14:paraId="754D3C27" w14:textId="1221D1F6" w:rsidR="00251E40" w:rsidRDefault="55449330" w:rsidP="55449330">
            <w:r>
              <w:t xml:space="preserve">Introduction and </w:t>
            </w:r>
            <w:r w:rsidR="0026602A">
              <w:t>O</w:t>
            </w:r>
            <w:r>
              <w:t>verview, DBI Refresher</w:t>
            </w:r>
          </w:p>
        </w:tc>
        <w:tc>
          <w:tcPr>
            <w:tcW w:w="3117" w:type="dxa"/>
          </w:tcPr>
          <w:p w14:paraId="2F09A918" w14:textId="07E73628" w:rsidR="00251E40" w:rsidRDefault="23B12BCF" w:rsidP="604F298C">
            <w:r>
              <w:t>Dr. Leanne Ketterlin-Geller (</w:t>
            </w:r>
            <w:r w:rsidRPr="23B12BCF">
              <w:rPr>
                <w:rFonts w:ascii="Calibri" w:eastAsia="Calibri" w:hAnsi="Calibri" w:cs="Calibri"/>
              </w:rPr>
              <w:t xml:space="preserve">Southern Methodist University) will give an overview of the project describing the goals of project STAIR and the use of DBI and assessments. </w:t>
            </w:r>
          </w:p>
        </w:tc>
      </w:tr>
      <w:tr w:rsidR="00251E40" w14:paraId="33FD0ACC" w14:textId="77777777" w:rsidTr="23B12BCF">
        <w:tc>
          <w:tcPr>
            <w:tcW w:w="3116" w:type="dxa"/>
          </w:tcPr>
          <w:p w14:paraId="03FB8D52" w14:textId="3DF068B2" w:rsidR="00251E40" w:rsidRDefault="55449330">
            <w:r>
              <w:t>:15</w:t>
            </w:r>
          </w:p>
        </w:tc>
        <w:tc>
          <w:tcPr>
            <w:tcW w:w="3117" w:type="dxa"/>
          </w:tcPr>
          <w:p w14:paraId="64693A02" w14:textId="74FD43F9" w:rsidR="00251E40" w:rsidRDefault="55449330" w:rsidP="007E2EB8">
            <w:r>
              <w:t xml:space="preserve">Evidence Supporting Assessment and Assessment Overview </w:t>
            </w:r>
          </w:p>
        </w:tc>
        <w:tc>
          <w:tcPr>
            <w:tcW w:w="3117" w:type="dxa"/>
          </w:tcPr>
          <w:p w14:paraId="33E359E9" w14:textId="649DDEA7" w:rsidR="00251E40" w:rsidRDefault="604F298C" w:rsidP="604F298C">
            <w:r>
              <w:t>Jiyung Hwang (</w:t>
            </w:r>
            <w:r w:rsidRPr="604F298C">
              <w:rPr>
                <w:rFonts w:ascii="Calibri" w:eastAsia="Calibri" w:hAnsi="Calibri" w:cs="Calibri"/>
              </w:rPr>
              <w:t xml:space="preserve">University of Missouri) will give an in-depth description of the evidence supporting the use of formative assessments with DBI. </w:t>
            </w:r>
          </w:p>
        </w:tc>
      </w:tr>
      <w:tr w:rsidR="00251E40" w14:paraId="61921C9B" w14:textId="77777777" w:rsidTr="23B12BCF">
        <w:tc>
          <w:tcPr>
            <w:tcW w:w="3116" w:type="dxa"/>
          </w:tcPr>
          <w:p w14:paraId="0D941512" w14:textId="4A0A407A" w:rsidR="00251E40" w:rsidRDefault="55449330">
            <w:r>
              <w:t>:20</w:t>
            </w:r>
          </w:p>
        </w:tc>
        <w:tc>
          <w:tcPr>
            <w:tcW w:w="3117" w:type="dxa"/>
          </w:tcPr>
          <w:p w14:paraId="04F908AB" w14:textId="069E55B8" w:rsidR="00251E40" w:rsidRDefault="00B90CB1">
            <w:r>
              <w:t xml:space="preserve">Universal </w:t>
            </w:r>
            <w:r w:rsidR="0026602A">
              <w:t>S</w:t>
            </w:r>
            <w:r>
              <w:t xml:space="preserve">creening, </w:t>
            </w:r>
            <w:r w:rsidR="0026602A">
              <w:t>P</w:t>
            </w:r>
            <w:r>
              <w:t xml:space="preserve">rogress </w:t>
            </w:r>
            <w:r w:rsidR="0026602A">
              <w:t>M</w:t>
            </w:r>
            <w:r>
              <w:t xml:space="preserve">onitoring, and </w:t>
            </w:r>
            <w:r w:rsidR="0026602A">
              <w:t>D</w:t>
            </w:r>
            <w:r w:rsidR="00F3355B">
              <w:t xml:space="preserve">iagnostic </w:t>
            </w:r>
            <w:r w:rsidR="0026602A">
              <w:t>A</w:t>
            </w:r>
            <w:r w:rsidR="00F3355B">
              <w:t xml:space="preserve">ssessments </w:t>
            </w:r>
          </w:p>
        </w:tc>
        <w:tc>
          <w:tcPr>
            <w:tcW w:w="3117" w:type="dxa"/>
          </w:tcPr>
          <w:p w14:paraId="60CE3347" w14:textId="604EE06E" w:rsidR="00251E40" w:rsidRDefault="23B12BCF" w:rsidP="604F298C">
            <w:r>
              <w:t xml:space="preserve">Elizabeth Thomas </w:t>
            </w:r>
            <w:r w:rsidRPr="23B12BCF">
              <w:rPr>
                <w:rFonts w:ascii="Calibri" w:eastAsia="Calibri" w:hAnsi="Calibri" w:cs="Calibri"/>
              </w:rPr>
              <w:t xml:space="preserve">(University of Missouri) will focus on the use of universal screeners, progress monitoring, and diagnostic assessments in the DBI process. </w:t>
            </w:r>
          </w:p>
        </w:tc>
      </w:tr>
      <w:tr w:rsidR="00251E40" w14:paraId="66B47B08" w14:textId="77777777" w:rsidTr="23B12BCF">
        <w:tc>
          <w:tcPr>
            <w:tcW w:w="3116" w:type="dxa"/>
          </w:tcPr>
          <w:p w14:paraId="3D606324" w14:textId="31F88644" w:rsidR="00251E40" w:rsidRDefault="55449330">
            <w:r>
              <w:t>:40</w:t>
            </w:r>
          </w:p>
        </w:tc>
        <w:tc>
          <w:tcPr>
            <w:tcW w:w="3117" w:type="dxa"/>
          </w:tcPr>
          <w:p w14:paraId="35C82715" w14:textId="4E7B8DD7" w:rsidR="00251E40" w:rsidRDefault="00120B45">
            <w:r>
              <w:t xml:space="preserve">Strategies for </w:t>
            </w:r>
            <w:r w:rsidR="0026602A">
              <w:t xml:space="preserve">Assessing </w:t>
            </w:r>
            <w:r>
              <w:t xml:space="preserve">the </w:t>
            </w:r>
            <w:r w:rsidR="0026602A">
              <w:t>V</w:t>
            </w:r>
            <w:r>
              <w:t xml:space="preserve">irtual </w:t>
            </w:r>
            <w:r w:rsidR="0026602A">
              <w:t>L</w:t>
            </w:r>
            <w:r>
              <w:t xml:space="preserve">earner </w:t>
            </w:r>
          </w:p>
        </w:tc>
        <w:tc>
          <w:tcPr>
            <w:tcW w:w="3117" w:type="dxa"/>
          </w:tcPr>
          <w:p w14:paraId="5A9023A6" w14:textId="08697E3C" w:rsidR="00251E40" w:rsidRDefault="604F298C">
            <w:r>
              <w:t xml:space="preserve">Tessa Arsenault (The University of Texas at Austin) will discuss some tips for </w:t>
            </w:r>
            <w:r>
              <w:lastRenderedPageBreak/>
              <w:t xml:space="preserve">conducting effective assessments in the virtual classroom. </w:t>
            </w:r>
          </w:p>
        </w:tc>
      </w:tr>
      <w:tr w:rsidR="6893411A" w14:paraId="11D225A7" w14:textId="77777777" w:rsidTr="23B12BCF">
        <w:tc>
          <w:tcPr>
            <w:tcW w:w="3116" w:type="dxa"/>
          </w:tcPr>
          <w:p w14:paraId="22BA0E42" w14:textId="3DE397B9" w:rsidR="6893411A" w:rsidRDefault="55449330" w:rsidP="6893411A">
            <w:r>
              <w:lastRenderedPageBreak/>
              <w:t>:50</w:t>
            </w:r>
          </w:p>
        </w:tc>
        <w:tc>
          <w:tcPr>
            <w:tcW w:w="3117" w:type="dxa"/>
          </w:tcPr>
          <w:p w14:paraId="02F69F08" w14:textId="46FB54AB" w:rsidR="6893411A" w:rsidRDefault="6893411A" w:rsidP="6893411A">
            <w:r>
              <w:t>Questions and Wrap-up</w:t>
            </w:r>
          </w:p>
        </w:tc>
        <w:tc>
          <w:tcPr>
            <w:tcW w:w="3117" w:type="dxa"/>
          </w:tcPr>
          <w:p w14:paraId="61A2F3D5" w14:textId="68420D16" w:rsidR="6893411A" w:rsidRDefault="23B12BCF" w:rsidP="6893411A">
            <w:r>
              <w:t>Dr. Leanne Ketterlin-Geller (</w:t>
            </w:r>
            <w:r w:rsidRPr="23B12BCF">
              <w:rPr>
                <w:rFonts w:ascii="Calibri" w:eastAsia="Calibri" w:hAnsi="Calibri" w:cs="Calibri"/>
              </w:rPr>
              <w:t xml:space="preserve">Southern Methodist University) will address any last questions and direct participants to additional resources. </w:t>
            </w:r>
          </w:p>
        </w:tc>
      </w:tr>
    </w:tbl>
    <w:p w14:paraId="2AA42F2F" w14:textId="6AE7F6A5" w:rsidR="00251E40" w:rsidRDefault="00251E40"/>
    <w:tbl>
      <w:tblPr>
        <w:tblStyle w:val="TableGrid"/>
        <w:tblW w:w="0" w:type="auto"/>
        <w:tblLook w:val="04A0" w:firstRow="1" w:lastRow="0" w:firstColumn="1" w:lastColumn="0" w:noHBand="0" w:noVBand="1"/>
      </w:tblPr>
      <w:tblGrid>
        <w:gridCol w:w="2515"/>
        <w:gridCol w:w="6835"/>
      </w:tblGrid>
      <w:tr w:rsidR="00251E40" w14:paraId="705278A4" w14:textId="77777777" w:rsidTr="23B12BCF">
        <w:tc>
          <w:tcPr>
            <w:tcW w:w="2515" w:type="dxa"/>
            <w:shd w:val="clear" w:color="auto" w:fill="D0CECE" w:themeFill="background2" w:themeFillShade="E6"/>
          </w:tcPr>
          <w:p w14:paraId="01849B20" w14:textId="4688F12A" w:rsidR="00251E40" w:rsidRDefault="604F298C">
            <w:r>
              <w:t>Introduction, Overview, and DBI Refresher</w:t>
            </w:r>
          </w:p>
          <w:p w14:paraId="52D2C6F0" w14:textId="7A04E14F" w:rsidR="55449330" w:rsidRDefault="55449330" w:rsidP="55449330"/>
          <w:p w14:paraId="10691B01" w14:textId="6C8BF159" w:rsidR="00282474" w:rsidRDefault="55449330" w:rsidP="55449330">
            <w:r>
              <w:t>15 min</w:t>
            </w:r>
          </w:p>
          <w:p w14:paraId="6D18D5D0" w14:textId="19028305" w:rsidR="00282474" w:rsidRDefault="00282474"/>
        </w:tc>
        <w:tc>
          <w:tcPr>
            <w:tcW w:w="6835" w:type="dxa"/>
          </w:tcPr>
          <w:p w14:paraId="0C7B425C" w14:textId="39F60936" w:rsidR="005E47EB" w:rsidRDefault="005E47EB">
            <w:r>
              <w:t xml:space="preserve">*prior to session disseminate infographic to participants  </w:t>
            </w:r>
          </w:p>
          <w:p w14:paraId="0EA02543" w14:textId="41D7BD05" w:rsidR="00282474" w:rsidRDefault="604F298C">
            <w:r>
              <w:t xml:space="preserve">Attendees will be welcomed to the session. The purpose of the session will be stated. There will be a recap of the specifics of the project. </w:t>
            </w:r>
          </w:p>
          <w:p w14:paraId="2378DD22" w14:textId="2ECB00D8" w:rsidR="604F298C" w:rsidRDefault="604F298C" w:rsidP="604F298C"/>
          <w:p w14:paraId="1FA2CADD" w14:textId="5FF6F431" w:rsidR="604F298C" w:rsidRDefault="23B12BCF">
            <w:r w:rsidRPr="23B12BCF">
              <w:rPr>
                <w:rFonts w:ascii="Calibri" w:eastAsia="Calibri" w:hAnsi="Calibri" w:cs="Calibri"/>
              </w:rPr>
              <w:t xml:space="preserve">There will be a review of the Data Based Individualization (DBI) framework: </w:t>
            </w:r>
            <w:r w:rsidR="00015D95">
              <w:rPr>
                <w:rFonts w:ascii="Calibri" w:eastAsia="Calibri" w:hAnsi="Calibri" w:cs="Calibri"/>
              </w:rPr>
              <w:t>t</w:t>
            </w:r>
            <w:r w:rsidRPr="23B12BCF">
              <w:rPr>
                <w:rFonts w:ascii="Calibri" w:eastAsia="Calibri" w:hAnsi="Calibri" w:cs="Calibri"/>
              </w:rPr>
              <w:t>he key pillars of the professional development will provide teachers with tools to enhance students’ algebraic readiness. The instructional tools include explicit instruction, utilizing problem solving structures, visual representation</w:t>
            </w:r>
            <w:r w:rsidR="00015D95">
              <w:rPr>
                <w:rFonts w:ascii="Calibri" w:eastAsia="Calibri" w:hAnsi="Calibri" w:cs="Calibri"/>
              </w:rPr>
              <w:t>,</w:t>
            </w:r>
            <w:r w:rsidRPr="23B12BCF">
              <w:rPr>
                <w:rFonts w:ascii="Calibri" w:eastAsia="Calibri" w:hAnsi="Calibri" w:cs="Calibri"/>
              </w:rPr>
              <w:t xml:space="preserve"> and fluency building on math. Assessment resources include universal screeners, progress monitoring, and diagnostic assessments. </w:t>
            </w:r>
          </w:p>
          <w:p w14:paraId="3F40BB07" w14:textId="3A4177FB" w:rsidR="604F298C" w:rsidRDefault="604F298C">
            <w:r w:rsidRPr="604F298C">
              <w:rPr>
                <w:rFonts w:ascii="Calibri" w:eastAsia="Calibri" w:hAnsi="Calibri" w:cs="Calibri"/>
              </w:rPr>
              <w:t xml:space="preserve"> </w:t>
            </w:r>
          </w:p>
          <w:p w14:paraId="0F653E2C" w14:textId="3AA5071C" w:rsidR="00251E40" w:rsidRDefault="604F298C" w:rsidP="00CB0172">
            <w:r>
              <w:t xml:space="preserve">The use of assessments as a part of the DBI process will be discussed during this session. </w:t>
            </w:r>
          </w:p>
          <w:p w14:paraId="6CCF85F2" w14:textId="3810F496" w:rsidR="00251E40" w:rsidRDefault="00251E40" w:rsidP="604F298C"/>
        </w:tc>
      </w:tr>
      <w:tr w:rsidR="00251E40" w14:paraId="6505D1E5" w14:textId="77777777" w:rsidTr="23B12BCF">
        <w:tc>
          <w:tcPr>
            <w:tcW w:w="2515" w:type="dxa"/>
            <w:shd w:val="clear" w:color="auto" w:fill="D0CECE" w:themeFill="background2" w:themeFillShade="E6"/>
          </w:tcPr>
          <w:p w14:paraId="41472E0F" w14:textId="3325A39D" w:rsidR="00DB6415" w:rsidRDefault="604F298C">
            <w:r>
              <w:t>Evidence Supporting Assessment and Assessment Overview</w:t>
            </w:r>
          </w:p>
          <w:p w14:paraId="4DF46FB8" w14:textId="77777777" w:rsidR="00F3355B" w:rsidRDefault="00F3355B"/>
          <w:p w14:paraId="3C308FC8" w14:textId="5C9CFEBC" w:rsidR="00DB6415" w:rsidRDefault="55449330">
            <w:r>
              <w:t>5 min</w:t>
            </w:r>
          </w:p>
          <w:p w14:paraId="1FFAFCEB" w14:textId="77777777" w:rsidR="00DB6415" w:rsidRDefault="00DB6415"/>
          <w:p w14:paraId="26EB22CA" w14:textId="0E1F6F30" w:rsidR="00A52131" w:rsidRDefault="00A52131"/>
        </w:tc>
        <w:tc>
          <w:tcPr>
            <w:tcW w:w="6835" w:type="dxa"/>
          </w:tcPr>
          <w:p w14:paraId="43EC35F4" w14:textId="502CDADD" w:rsidR="00877430" w:rsidRDefault="604F298C" w:rsidP="00877430">
            <w:r w:rsidRPr="604F298C">
              <w:rPr>
                <w:rFonts w:ascii="Calibri" w:eastAsia="Calibri" w:hAnsi="Calibri" w:cs="Calibri"/>
              </w:rPr>
              <w:t xml:space="preserve">There will be a specific description of the role of formative assessments as a part of DBI. </w:t>
            </w:r>
          </w:p>
          <w:p w14:paraId="200B8227" w14:textId="78990F3C" w:rsidR="00877430" w:rsidRDefault="604F298C" w:rsidP="00877430">
            <w:r w:rsidRPr="604F298C">
              <w:rPr>
                <w:rFonts w:ascii="Calibri" w:eastAsia="Calibri" w:hAnsi="Calibri" w:cs="Calibri"/>
              </w:rPr>
              <w:t xml:space="preserve"> </w:t>
            </w:r>
          </w:p>
          <w:p w14:paraId="455BB943" w14:textId="301CE1D4" w:rsidR="00877430" w:rsidRDefault="23B12BCF" w:rsidP="00877430">
            <w:r w:rsidRPr="23B12BCF">
              <w:rPr>
                <w:rFonts w:ascii="Calibri" w:eastAsia="Calibri" w:hAnsi="Calibri" w:cs="Calibri"/>
              </w:rPr>
              <w:t>There will be a description of the evidence supporting the use of formative assessments in mathematics classrooms. There will also be a description of how universal screener</w:t>
            </w:r>
            <w:r w:rsidR="00015D95">
              <w:rPr>
                <w:rFonts w:ascii="Calibri" w:eastAsia="Calibri" w:hAnsi="Calibri" w:cs="Calibri"/>
              </w:rPr>
              <w:t>s</w:t>
            </w:r>
            <w:r w:rsidRPr="23B12BCF">
              <w:rPr>
                <w:rFonts w:ascii="Calibri" w:eastAsia="Calibri" w:hAnsi="Calibri" w:cs="Calibri"/>
              </w:rPr>
              <w:t xml:space="preserve">, progress monitoring, and diagnostic assessments fit into the DBI process. </w:t>
            </w:r>
          </w:p>
          <w:p w14:paraId="25A278ED" w14:textId="6EDB60F3" w:rsidR="00877430" w:rsidRDefault="00877430" w:rsidP="00F3355B"/>
        </w:tc>
      </w:tr>
      <w:tr w:rsidR="00251E40" w14:paraId="39DBD7C2" w14:textId="77777777" w:rsidTr="23B12BCF">
        <w:tc>
          <w:tcPr>
            <w:tcW w:w="2515" w:type="dxa"/>
            <w:shd w:val="clear" w:color="auto" w:fill="D0CECE" w:themeFill="background2" w:themeFillShade="E6"/>
          </w:tcPr>
          <w:p w14:paraId="02D172F3" w14:textId="42056C3B" w:rsidR="00670A16" w:rsidRDefault="23B12BCF" w:rsidP="00670A16">
            <w:r>
              <w:t xml:space="preserve">Universal </w:t>
            </w:r>
            <w:r w:rsidR="0026602A">
              <w:t>Screeners, Progress Monitoring, and Diagnostic Assessments</w:t>
            </w:r>
          </w:p>
          <w:p w14:paraId="6A8C40D4" w14:textId="77777777" w:rsidR="00F3355B" w:rsidRDefault="00F3355B" w:rsidP="00670A16"/>
          <w:p w14:paraId="2B522811" w14:textId="4FE61488" w:rsidR="00251E40" w:rsidRDefault="55449330" w:rsidP="00670A16">
            <w:r>
              <w:t>20 min</w:t>
            </w:r>
          </w:p>
        </w:tc>
        <w:tc>
          <w:tcPr>
            <w:tcW w:w="6835" w:type="dxa"/>
          </w:tcPr>
          <w:p w14:paraId="0FFB5FD0" w14:textId="698C6938" w:rsidR="00251E40" w:rsidRDefault="23B12BCF">
            <w:r>
              <w:t xml:space="preserve">Specifics about the purpose </w:t>
            </w:r>
            <w:r w:rsidR="0026602A">
              <w:t xml:space="preserve">of </w:t>
            </w:r>
            <w:r>
              <w:t xml:space="preserve">and when to use universal screeners, progress monitoring, and diagnostic assessments will be discussed. </w:t>
            </w:r>
          </w:p>
          <w:p w14:paraId="734C824F" w14:textId="7FA8299F" w:rsidR="00251E40" w:rsidRDefault="00251E40" w:rsidP="604F298C"/>
          <w:p w14:paraId="4D4701B8" w14:textId="2002DFC2" w:rsidR="00251E40" w:rsidRDefault="604F298C" w:rsidP="604F298C">
            <w:r>
              <w:t>First, resources will be provided on how to choose assessments. Then, there will be sections for universal screeners, progress monitoring, and diagnostic assessments. Each section contains the same information for the three types of assessment. A description of the assessment will be provided. Information will be pr</w:t>
            </w:r>
            <w:r w:rsidR="00015D95">
              <w:t>esented</w:t>
            </w:r>
            <w:r>
              <w:t xml:space="preserve"> </w:t>
            </w:r>
            <w:r>
              <w:lastRenderedPageBreak/>
              <w:t>on interpreting the results</w:t>
            </w:r>
            <w:r w:rsidR="0026602A">
              <w:t xml:space="preserve"> and making decisions with the data</w:t>
            </w:r>
            <w:r>
              <w:t xml:space="preserve">. Last, information will be provided on how the assessment fits into DBI. </w:t>
            </w:r>
          </w:p>
          <w:p w14:paraId="09D7E0E8" w14:textId="1FD87FD7" w:rsidR="00251E40" w:rsidRDefault="00251E40" w:rsidP="604F298C"/>
        </w:tc>
      </w:tr>
      <w:tr w:rsidR="00251E40" w14:paraId="24EE0264" w14:textId="77777777" w:rsidTr="23B12BCF">
        <w:tc>
          <w:tcPr>
            <w:tcW w:w="2515" w:type="dxa"/>
            <w:shd w:val="clear" w:color="auto" w:fill="D0CECE" w:themeFill="background2" w:themeFillShade="E6"/>
          </w:tcPr>
          <w:p w14:paraId="7AEB53B0" w14:textId="18FE4B80" w:rsidR="00251E40" w:rsidRDefault="00BC38CB">
            <w:r>
              <w:lastRenderedPageBreak/>
              <w:t xml:space="preserve">The </w:t>
            </w:r>
            <w:r w:rsidR="0026602A">
              <w:t xml:space="preserve">Virtual Environment </w:t>
            </w:r>
          </w:p>
          <w:p w14:paraId="7CCDC045" w14:textId="77777777" w:rsidR="00BC38CB" w:rsidRDefault="00BC38CB"/>
          <w:p w14:paraId="41F0FF26" w14:textId="127D4CED" w:rsidR="00BC38CB" w:rsidRDefault="55449330">
            <w:r>
              <w:t>10 min</w:t>
            </w:r>
          </w:p>
        </w:tc>
        <w:tc>
          <w:tcPr>
            <w:tcW w:w="6835" w:type="dxa"/>
          </w:tcPr>
          <w:p w14:paraId="3FEB609D" w14:textId="59A364FF" w:rsidR="00B109BE" w:rsidRDefault="23B12BCF" w:rsidP="604F298C">
            <w:pPr>
              <w:spacing w:line="259" w:lineRule="auto"/>
            </w:pPr>
            <w:r w:rsidRPr="23B12BCF">
              <w:rPr>
                <w:rFonts w:ascii="Calibri" w:eastAsia="Calibri" w:hAnsi="Calibri" w:cs="Calibri"/>
              </w:rPr>
              <w:t xml:space="preserve">There will be four main points discussed that address assessing in the virtual environment: know your students’ IEP accommodations, awareness of inequities, know your purpose for assessing, and preparedness and communication are key. </w:t>
            </w:r>
          </w:p>
          <w:p w14:paraId="55792E31" w14:textId="697D787F" w:rsidR="00B109BE" w:rsidRDefault="604F298C" w:rsidP="00F3355B">
            <w:r w:rsidRPr="604F298C">
              <w:rPr>
                <w:rFonts w:ascii="Calibri" w:eastAsia="Calibri" w:hAnsi="Calibri" w:cs="Calibri"/>
              </w:rPr>
              <w:t xml:space="preserve"> </w:t>
            </w:r>
          </w:p>
        </w:tc>
      </w:tr>
      <w:tr w:rsidR="6893411A" w14:paraId="64AB13F8" w14:textId="77777777" w:rsidTr="23B12BCF">
        <w:tc>
          <w:tcPr>
            <w:tcW w:w="2515" w:type="dxa"/>
            <w:shd w:val="clear" w:color="auto" w:fill="D0CECE" w:themeFill="background2" w:themeFillShade="E6"/>
          </w:tcPr>
          <w:p w14:paraId="6B8D5093" w14:textId="285D6D91" w:rsidR="6893411A" w:rsidRDefault="6893411A" w:rsidP="6893411A">
            <w:r>
              <w:t>Questions and Wrap-up</w:t>
            </w:r>
          </w:p>
          <w:p w14:paraId="587B5C81" w14:textId="6572314B" w:rsidR="6893411A" w:rsidRDefault="6893411A" w:rsidP="6893411A"/>
          <w:p w14:paraId="57F14E4D" w14:textId="0F0AA9C3" w:rsidR="6893411A" w:rsidRDefault="55449330" w:rsidP="6893411A">
            <w:r>
              <w:t>10 min</w:t>
            </w:r>
          </w:p>
        </w:tc>
        <w:tc>
          <w:tcPr>
            <w:tcW w:w="6835" w:type="dxa"/>
          </w:tcPr>
          <w:p w14:paraId="68479F84" w14:textId="504635E1" w:rsidR="6893411A" w:rsidRDefault="604F298C" w:rsidP="6893411A">
            <w:r>
              <w:t xml:space="preserve">The session will end by opening the floor to questions and </w:t>
            </w:r>
            <w:r w:rsidR="00015D95">
              <w:t xml:space="preserve">sharing </w:t>
            </w:r>
            <w:r>
              <w:t xml:space="preserve">information on additional resources. </w:t>
            </w:r>
          </w:p>
        </w:tc>
      </w:tr>
    </w:tbl>
    <w:p w14:paraId="5FEE0FD3" w14:textId="68B77C30" w:rsidR="00251E40" w:rsidRDefault="00251E40"/>
    <w:p w14:paraId="1F80BABE" w14:textId="2393E587" w:rsidR="00251E40" w:rsidRDefault="00251E40" w:rsidP="00251E40"/>
    <w:p w14:paraId="2888BC41" w14:textId="77777777" w:rsidR="00251E40" w:rsidRDefault="00251E40" w:rsidP="00251E40"/>
    <w:p w14:paraId="531636A7" w14:textId="70125BFD" w:rsidR="00251E40" w:rsidRDefault="00251E40" w:rsidP="00BC38CB">
      <w:pPr>
        <w:jc w:val="center"/>
      </w:pPr>
      <w:r w:rsidRPr="005A09AF">
        <w:rPr>
          <w:noProof/>
        </w:rPr>
        <w:drawing>
          <wp:inline distT="0" distB="0" distL="0" distR="0" wp14:anchorId="05BD62EB" wp14:editId="3585DBE1">
            <wp:extent cx="1691640" cy="1055405"/>
            <wp:effectExtent l="0" t="0" r="0" b="0"/>
            <wp:docPr id="41" name="Picture 40" descr="IDEAs that Work: Office of Special Education Programs US Department of Education">
              <a:extLst xmlns:a="http://schemas.openxmlformats.org/drawingml/2006/main">
                <a:ext uri="{FF2B5EF4-FFF2-40B4-BE49-F238E27FC236}">
                  <a16:creationId xmlns:a16="http://schemas.microsoft.com/office/drawing/2014/main" id="{FE610322-E538-8E49-B1F3-FB14AF1B89F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0" descr="A screenshot of a cell phone&#10;&#10;Description automatically generated">
                      <a:extLst>
                        <a:ext uri="{FF2B5EF4-FFF2-40B4-BE49-F238E27FC236}">
                          <a16:creationId xmlns:a16="http://schemas.microsoft.com/office/drawing/2014/main" id="{FE610322-E538-8E49-B1F3-FB14AF1B89FA}"/>
                        </a:ext>
                      </a:extLst>
                    </pic:cNvPr>
                    <pic:cNvPicPr>
                      <a:picLocks noChangeAspect="1"/>
                    </pic:cNvPicPr>
                  </pic:nvPicPr>
                  <pic:blipFill>
                    <a:blip r:embed="rId11"/>
                    <a:stretch>
                      <a:fillRect/>
                    </a:stretch>
                  </pic:blipFill>
                  <pic:spPr>
                    <a:xfrm>
                      <a:off x="0" y="0"/>
                      <a:ext cx="1714571" cy="1069711"/>
                    </a:xfrm>
                    <a:prstGeom prst="rect">
                      <a:avLst/>
                    </a:prstGeom>
                  </pic:spPr>
                </pic:pic>
              </a:graphicData>
            </a:graphic>
          </wp:inline>
        </w:drawing>
      </w:r>
      <w:r w:rsidR="00BC38CB" w:rsidRPr="005A09AF">
        <w:rPr>
          <w:noProof/>
        </w:rPr>
        <w:drawing>
          <wp:inline distT="0" distB="0" distL="0" distR="0" wp14:anchorId="0B5FD9DF" wp14:editId="3D4F2492">
            <wp:extent cx="2044744" cy="664149"/>
            <wp:effectExtent l="0" t="0" r="0" b="0"/>
            <wp:docPr id="39" name="Picture 38" descr="The University of Texas at Austin">
              <a:extLst xmlns:a="http://schemas.openxmlformats.org/drawingml/2006/main">
                <a:ext uri="{FF2B5EF4-FFF2-40B4-BE49-F238E27FC236}">
                  <a16:creationId xmlns:a16="http://schemas.microsoft.com/office/drawing/2014/main" id="{A0D90FB1-97A2-BE41-8F28-FDCDFCCE55C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8" descr="A close up of a sign&#10;&#10;Description automatically generated">
                      <a:extLst>
                        <a:ext uri="{FF2B5EF4-FFF2-40B4-BE49-F238E27FC236}">
                          <a16:creationId xmlns:a16="http://schemas.microsoft.com/office/drawing/2014/main" id="{A0D90FB1-97A2-BE41-8F28-FDCDFCCE55C8}"/>
                        </a:ext>
                      </a:extLst>
                    </pic:cNvPr>
                    <pic:cNvPicPr>
                      <a:picLocks noChangeAspect="1"/>
                    </pic:cNvPicPr>
                  </pic:nvPicPr>
                  <pic:blipFill>
                    <a:blip r:embed="rId14"/>
                    <a:stretch>
                      <a:fillRect/>
                    </a:stretch>
                  </pic:blipFill>
                  <pic:spPr>
                    <a:xfrm>
                      <a:off x="0" y="0"/>
                      <a:ext cx="2086793" cy="677807"/>
                    </a:xfrm>
                    <a:prstGeom prst="rect">
                      <a:avLst/>
                    </a:prstGeom>
                  </pic:spPr>
                </pic:pic>
              </a:graphicData>
            </a:graphic>
          </wp:inline>
        </w:drawing>
      </w:r>
    </w:p>
    <w:p w14:paraId="05C41822" w14:textId="0400C592" w:rsidR="00251E40" w:rsidRDefault="00251E40" w:rsidP="00251E40"/>
    <w:p w14:paraId="48071E1D" w14:textId="471F134D" w:rsidR="00251E40" w:rsidRDefault="00251E40" w:rsidP="00BC38CB">
      <w:pPr>
        <w:jc w:val="center"/>
      </w:pPr>
      <w:r w:rsidRPr="005A09AF">
        <w:rPr>
          <w:noProof/>
        </w:rPr>
        <w:drawing>
          <wp:inline distT="0" distB="0" distL="0" distR="0" wp14:anchorId="31D48C6E" wp14:editId="622A89EC">
            <wp:extent cx="2183130" cy="545783"/>
            <wp:effectExtent l="0" t="0" r="1270" b="635"/>
            <wp:docPr id="36" name="Picture 35" descr="University of Missouri College of Education">
              <a:extLst xmlns:a="http://schemas.openxmlformats.org/drawingml/2006/main">
                <a:ext uri="{FF2B5EF4-FFF2-40B4-BE49-F238E27FC236}">
                  <a16:creationId xmlns:a16="http://schemas.microsoft.com/office/drawing/2014/main" id="{80E03B63-1748-6449-A674-75176351681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5" descr="A close up of a logo&#10;&#10;Description automatically generated">
                      <a:extLst>
                        <a:ext uri="{FF2B5EF4-FFF2-40B4-BE49-F238E27FC236}">
                          <a16:creationId xmlns:a16="http://schemas.microsoft.com/office/drawing/2014/main" id="{80E03B63-1748-6449-A674-75176351681E}"/>
                        </a:ext>
                      </a:extLst>
                    </pic:cNvPr>
                    <pic:cNvPicPr>
                      <a:picLocks noChangeAspect="1"/>
                    </pic:cNvPicPr>
                  </pic:nvPicPr>
                  <pic:blipFill>
                    <a:blip r:embed="rId12"/>
                    <a:stretch>
                      <a:fillRect/>
                    </a:stretch>
                  </pic:blipFill>
                  <pic:spPr>
                    <a:xfrm>
                      <a:off x="0" y="0"/>
                      <a:ext cx="2301435" cy="575359"/>
                    </a:xfrm>
                    <a:prstGeom prst="rect">
                      <a:avLst/>
                    </a:prstGeom>
                  </pic:spPr>
                </pic:pic>
              </a:graphicData>
            </a:graphic>
          </wp:inline>
        </w:drawing>
      </w:r>
      <w:r w:rsidR="00BC38CB" w:rsidRPr="005A09AF">
        <w:rPr>
          <w:noProof/>
        </w:rPr>
        <w:drawing>
          <wp:inline distT="0" distB="0" distL="0" distR="0" wp14:anchorId="0E344040" wp14:editId="582A04BE">
            <wp:extent cx="2194560" cy="541372"/>
            <wp:effectExtent l="0" t="0" r="2540" b="0"/>
            <wp:docPr id="38" name="Picture 37" descr="SMU: Annette Caldwell Simmons School of Education and Human Development">
              <a:extLst xmlns:a="http://schemas.openxmlformats.org/drawingml/2006/main">
                <a:ext uri="{FF2B5EF4-FFF2-40B4-BE49-F238E27FC236}">
                  <a16:creationId xmlns:a16="http://schemas.microsoft.com/office/drawing/2014/main" id="{F6681990-947E-CF4A-888A-FDB1668BB5A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7" descr="A screen shot of a social media post&#10;&#10;Description automatically generated">
                      <a:extLst>
                        <a:ext uri="{FF2B5EF4-FFF2-40B4-BE49-F238E27FC236}">
                          <a16:creationId xmlns:a16="http://schemas.microsoft.com/office/drawing/2014/main" id="{F6681990-947E-CF4A-888A-FDB1668BB5A6}"/>
                        </a:ext>
                      </a:extLst>
                    </pic:cNvPr>
                    <pic:cNvPicPr>
                      <a:picLocks noChangeAspect="1"/>
                    </pic:cNvPicPr>
                  </pic:nvPicPr>
                  <pic:blipFill>
                    <a:blip r:embed="rId13"/>
                    <a:stretch>
                      <a:fillRect/>
                    </a:stretch>
                  </pic:blipFill>
                  <pic:spPr>
                    <a:xfrm>
                      <a:off x="0" y="0"/>
                      <a:ext cx="2316072" cy="571347"/>
                    </a:xfrm>
                    <a:prstGeom prst="rect">
                      <a:avLst/>
                    </a:prstGeom>
                  </pic:spPr>
                </pic:pic>
              </a:graphicData>
            </a:graphic>
          </wp:inline>
        </w:drawing>
      </w:r>
    </w:p>
    <w:p w14:paraId="622423DD" w14:textId="22E8A475" w:rsidR="00251E40" w:rsidRDefault="00251E40">
      <w:bookmarkStart w:id="0" w:name="_GoBack"/>
      <w:bookmarkEnd w:id="0"/>
    </w:p>
    <w:sectPr w:rsidR="00251E40" w:rsidSect="00A21F72">
      <w:headerReference w:type="default" r:id="rId15"/>
      <w:footerReference w:type="default" r:id="rId16"/>
      <w:pgSz w:w="12240" w:h="15840"/>
      <w:pgMar w:top="1440" w:right="1440" w:bottom="1440" w:left="1440" w:header="14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86B193" w14:textId="77777777" w:rsidR="004F79B7" w:rsidRDefault="004F79B7" w:rsidP="00251E40">
      <w:r>
        <w:separator/>
      </w:r>
    </w:p>
  </w:endnote>
  <w:endnote w:type="continuationSeparator" w:id="0">
    <w:p w14:paraId="18518358" w14:textId="77777777" w:rsidR="004F79B7" w:rsidRDefault="004F79B7" w:rsidP="00251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7908EA3B" w14:paraId="468EEE2D" w14:textId="77777777" w:rsidTr="7908EA3B">
      <w:tc>
        <w:tcPr>
          <w:tcW w:w="3120" w:type="dxa"/>
        </w:tcPr>
        <w:p w14:paraId="498751B3" w14:textId="3E72F263" w:rsidR="7908EA3B" w:rsidRDefault="7908EA3B" w:rsidP="7908EA3B">
          <w:pPr>
            <w:pStyle w:val="Header"/>
            <w:ind w:left="-115"/>
          </w:pPr>
        </w:p>
      </w:tc>
      <w:tc>
        <w:tcPr>
          <w:tcW w:w="3120" w:type="dxa"/>
        </w:tcPr>
        <w:p w14:paraId="3CD06AF8" w14:textId="2B4D91DE" w:rsidR="7908EA3B" w:rsidRDefault="7908EA3B" w:rsidP="7908EA3B">
          <w:pPr>
            <w:pStyle w:val="Header"/>
            <w:jc w:val="center"/>
          </w:pPr>
        </w:p>
      </w:tc>
      <w:tc>
        <w:tcPr>
          <w:tcW w:w="3120" w:type="dxa"/>
        </w:tcPr>
        <w:p w14:paraId="19ED0BF6" w14:textId="6B7F0076" w:rsidR="7908EA3B" w:rsidRDefault="7908EA3B" w:rsidP="7908EA3B">
          <w:pPr>
            <w:pStyle w:val="Header"/>
            <w:ind w:right="-115"/>
            <w:jc w:val="right"/>
          </w:pPr>
        </w:p>
      </w:tc>
    </w:tr>
  </w:tbl>
  <w:p w14:paraId="7BE84A1D" w14:textId="4FBBB42D" w:rsidR="7908EA3B" w:rsidRPr="00C25439" w:rsidRDefault="00452B4A" w:rsidP="00452B4A">
    <w:pPr>
      <w:pStyle w:val="Footer"/>
      <w:jc w:val="center"/>
      <w:rPr>
        <w:color w:val="404040" w:themeColor="text1" w:themeTint="BF"/>
      </w:rPr>
    </w:pPr>
    <w:r w:rsidRPr="00D71660">
      <w:rPr>
        <w:noProof/>
        <w:sz w:val="14"/>
        <w:szCs w:val="14"/>
      </w:rPr>
      <w:drawing>
        <wp:inline distT="0" distB="0" distL="0" distR="0" wp14:anchorId="5FFC55AA" wp14:editId="4D3D0C8C">
          <wp:extent cx="664100" cy="235390"/>
          <wp:effectExtent l="0" t="0" r="3175" b="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0780" cy="241302"/>
                  </a:xfrm>
                  <a:prstGeom prst="rect">
                    <a:avLst/>
                  </a:prstGeom>
                  <a:noFill/>
                  <a:ln>
                    <a:noFill/>
                  </a:ln>
                </pic:spPr>
              </pic:pic>
            </a:graphicData>
          </a:graphic>
        </wp:inline>
      </w:drawing>
    </w:r>
    <w:r>
      <w:t xml:space="preserve"> </w:t>
    </w:r>
    <w:r w:rsidRPr="00C25439">
      <w:rPr>
        <w:color w:val="404040" w:themeColor="text1" w:themeTint="BF"/>
        <w:sz w:val="14"/>
        <w:szCs w:val="14"/>
        <w:shd w:val="clear" w:color="auto" w:fill="FFFFFF"/>
      </w:rPr>
      <w:t>This work is licensed under a</w:t>
    </w:r>
    <w:r w:rsidRPr="00C25439">
      <w:rPr>
        <w:rFonts w:ascii="Times New Roman" w:eastAsia="Times New Roman" w:hAnsi="Times New Roman" w:cs="Times New Roman"/>
        <w:color w:val="404040" w:themeColor="text1" w:themeTint="BF"/>
        <w:sz w:val="14"/>
        <w:szCs w:val="14"/>
      </w:rPr>
      <w:t> </w:t>
    </w:r>
    <w:hyperlink r:id="rId2" w:tgtFrame="_blank" w:history="1">
      <w:r w:rsidRPr="00C25439">
        <w:rPr>
          <w:rStyle w:val="Hyperlink"/>
          <w:rFonts w:ascii="Times New Roman" w:eastAsia="Times New Roman" w:hAnsi="Times New Roman" w:cs="Times New Roman"/>
          <w:color w:val="404040" w:themeColor="text1" w:themeTint="BF"/>
          <w:sz w:val="14"/>
          <w:szCs w:val="14"/>
        </w:rPr>
        <w:t>Creative Commons Attribution-NonCommercial-NoDerivatives 4.0 International License</w:t>
      </w:r>
    </w:hyperlink>
    <w:r w:rsidRPr="00C25439">
      <w:rPr>
        <w:rFonts w:ascii="Times New Roman" w:eastAsia="Times New Roman" w:hAnsi="Times New Roman" w:cs="Times New Roman"/>
        <w:color w:val="404040" w:themeColor="text1" w:themeTint="BF"/>
        <w:sz w:val="14"/>
        <w:szCs w:val="14"/>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AB0974" w14:textId="77777777" w:rsidR="004F79B7" w:rsidRDefault="004F79B7" w:rsidP="00251E40">
      <w:r>
        <w:separator/>
      </w:r>
    </w:p>
  </w:footnote>
  <w:footnote w:type="continuationSeparator" w:id="0">
    <w:p w14:paraId="36B707B0" w14:textId="77777777" w:rsidR="004F79B7" w:rsidRDefault="004F79B7" w:rsidP="00251E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DD49E" w14:textId="55F9C6AC" w:rsidR="00251E40" w:rsidRPr="00251E40" w:rsidRDefault="00CC67B6" w:rsidP="00CC67B6">
    <w:pPr>
      <w:pStyle w:val="Header"/>
    </w:pPr>
    <w:r>
      <w:tab/>
    </w:r>
    <w:r>
      <w:tab/>
      <w:t xml:space="preserve">  </w:t>
    </w:r>
    <w:r w:rsidR="00251E40">
      <w:rPr>
        <w:noProof/>
      </w:rPr>
      <w:drawing>
        <wp:inline distT="0" distB="0" distL="0" distR="0" wp14:anchorId="024516A4" wp14:editId="561446A4">
          <wp:extent cx="1933520" cy="624882"/>
          <wp:effectExtent l="0" t="0" r="0" b="0"/>
          <wp:docPr id="2" name="Picture 2" descr="STAIR logo: Supporting Teaching of Algebra: Individual Readi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20-05-27 at 8.35.11 A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58513" cy="66527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081010"/>
    <w:multiLevelType w:val="hybridMultilevel"/>
    <w:tmpl w:val="B7AE1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5810AF"/>
    <w:multiLevelType w:val="hybridMultilevel"/>
    <w:tmpl w:val="55F4ECE4"/>
    <w:lvl w:ilvl="0" w:tplc="66E0087C">
      <w:start w:val="1"/>
      <w:numFmt w:val="bullet"/>
      <w:lvlText w:val="•"/>
      <w:lvlJc w:val="left"/>
      <w:pPr>
        <w:tabs>
          <w:tab w:val="num" w:pos="720"/>
        </w:tabs>
        <w:ind w:left="720" w:hanging="360"/>
      </w:pPr>
      <w:rPr>
        <w:rFonts w:ascii="Arial" w:hAnsi="Arial" w:hint="default"/>
      </w:rPr>
    </w:lvl>
    <w:lvl w:ilvl="1" w:tplc="B69E7570" w:tentative="1">
      <w:start w:val="1"/>
      <w:numFmt w:val="bullet"/>
      <w:lvlText w:val="•"/>
      <w:lvlJc w:val="left"/>
      <w:pPr>
        <w:tabs>
          <w:tab w:val="num" w:pos="1440"/>
        </w:tabs>
        <w:ind w:left="1440" w:hanging="360"/>
      </w:pPr>
      <w:rPr>
        <w:rFonts w:ascii="Arial" w:hAnsi="Arial" w:hint="default"/>
      </w:rPr>
    </w:lvl>
    <w:lvl w:ilvl="2" w:tplc="E294E6F6" w:tentative="1">
      <w:start w:val="1"/>
      <w:numFmt w:val="bullet"/>
      <w:lvlText w:val="•"/>
      <w:lvlJc w:val="left"/>
      <w:pPr>
        <w:tabs>
          <w:tab w:val="num" w:pos="2160"/>
        </w:tabs>
        <w:ind w:left="2160" w:hanging="360"/>
      </w:pPr>
      <w:rPr>
        <w:rFonts w:ascii="Arial" w:hAnsi="Arial" w:hint="default"/>
      </w:rPr>
    </w:lvl>
    <w:lvl w:ilvl="3" w:tplc="0DDC13F8" w:tentative="1">
      <w:start w:val="1"/>
      <w:numFmt w:val="bullet"/>
      <w:lvlText w:val="•"/>
      <w:lvlJc w:val="left"/>
      <w:pPr>
        <w:tabs>
          <w:tab w:val="num" w:pos="2880"/>
        </w:tabs>
        <w:ind w:left="2880" w:hanging="360"/>
      </w:pPr>
      <w:rPr>
        <w:rFonts w:ascii="Arial" w:hAnsi="Arial" w:hint="default"/>
      </w:rPr>
    </w:lvl>
    <w:lvl w:ilvl="4" w:tplc="522AA890" w:tentative="1">
      <w:start w:val="1"/>
      <w:numFmt w:val="bullet"/>
      <w:lvlText w:val="•"/>
      <w:lvlJc w:val="left"/>
      <w:pPr>
        <w:tabs>
          <w:tab w:val="num" w:pos="3600"/>
        </w:tabs>
        <w:ind w:left="3600" w:hanging="360"/>
      </w:pPr>
      <w:rPr>
        <w:rFonts w:ascii="Arial" w:hAnsi="Arial" w:hint="default"/>
      </w:rPr>
    </w:lvl>
    <w:lvl w:ilvl="5" w:tplc="398039CE" w:tentative="1">
      <w:start w:val="1"/>
      <w:numFmt w:val="bullet"/>
      <w:lvlText w:val="•"/>
      <w:lvlJc w:val="left"/>
      <w:pPr>
        <w:tabs>
          <w:tab w:val="num" w:pos="4320"/>
        </w:tabs>
        <w:ind w:left="4320" w:hanging="360"/>
      </w:pPr>
      <w:rPr>
        <w:rFonts w:ascii="Arial" w:hAnsi="Arial" w:hint="default"/>
      </w:rPr>
    </w:lvl>
    <w:lvl w:ilvl="6" w:tplc="DD827698" w:tentative="1">
      <w:start w:val="1"/>
      <w:numFmt w:val="bullet"/>
      <w:lvlText w:val="•"/>
      <w:lvlJc w:val="left"/>
      <w:pPr>
        <w:tabs>
          <w:tab w:val="num" w:pos="5040"/>
        </w:tabs>
        <w:ind w:left="5040" w:hanging="360"/>
      </w:pPr>
      <w:rPr>
        <w:rFonts w:ascii="Arial" w:hAnsi="Arial" w:hint="default"/>
      </w:rPr>
    </w:lvl>
    <w:lvl w:ilvl="7" w:tplc="1A8CB6DA" w:tentative="1">
      <w:start w:val="1"/>
      <w:numFmt w:val="bullet"/>
      <w:lvlText w:val="•"/>
      <w:lvlJc w:val="left"/>
      <w:pPr>
        <w:tabs>
          <w:tab w:val="num" w:pos="5760"/>
        </w:tabs>
        <w:ind w:left="5760" w:hanging="360"/>
      </w:pPr>
      <w:rPr>
        <w:rFonts w:ascii="Arial" w:hAnsi="Arial" w:hint="default"/>
      </w:rPr>
    </w:lvl>
    <w:lvl w:ilvl="8" w:tplc="470CF306"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E40"/>
    <w:rsid w:val="0000454F"/>
    <w:rsid w:val="00015D95"/>
    <w:rsid w:val="00044F37"/>
    <w:rsid w:val="00073520"/>
    <w:rsid w:val="000D41E6"/>
    <w:rsid w:val="000E5AAA"/>
    <w:rsid w:val="0010690B"/>
    <w:rsid w:val="00120B45"/>
    <w:rsid w:val="001C0DDC"/>
    <w:rsid w:val="001D5716"/>
    <w:rsid w:val="00251E40"/>
    <w:rsid w:val="0026602A"/>
    <w:rsid w:val="00282474"/>
    <w:rsid w:val="00293D48"/>
    <w:rsid w:val="002F2FE2"/>
    <w:rsid w:val="003E66DE"/>
    <w:rsid w:val="003F0F0B"/>
    <w:rsid w:val="00424357"/>
    <w:rsid w:val="00452B4A"/>
    <w:rsid w:val="00490A81"/>
    <w:rsid w:val="004F79B7"/>
    <w:rsid w:val="005807AE"/>
    <w:rsid w:val="005E47EB"/>
    <w:rsid w:val="00670A16"/>
    <w:rsid w:val="00735281"/>
    <w:rsid w:val="007A1A3F"/>
    <w:rsid w:val="007E2EB8"/>
    <w:rsid w:val="0085519F"/>
    <w:rsid w:val="00877430"/>
    <w:rsid w:val="008C1CC2"/>
    <w:rsid w:val="008F5639"/>
    <w:rsid w:val="009737FA"/>
    <w:rsid w:val="00A21F72"/>
    <w:rsid w:val="00A52131"/>
    <w:rsid w:val="00AA5F46"/>
    <w:rsid w:val="00B109BE"/>
    <w:rsid w:val="00B2284F"/>
    <w:rsid w:val="00B90CB1"/>
    <w:rsid w:val="00BC38CB"/>
    <w:rsid w:val="00C25439"/>
    <w:rsid w:val="00C57EA0"/>
    <w:rsid w:val="00C61B96"/>
    <w:rsid w:val="00C77C22"/>
    <w:rsid w:val="00C8467F"/>
    <w:rsid w:val="00CB0172"/>
    <w:rsid w:val="00CC67B6"/>
    <w:rsid w:val="00DB6415"/>
    <w:rsid w:val="00E44F66"/>
    <w:rsid w:val="00E52713"/>
    <w:rsid w:val="00E707BE"/>
    <w:rsid w:val="00F01356"/>
    <w:rsid w:val="00F22FCB"/>
    <w:rsid w:val="00F3355B"/>
    <w:rsid w:val="00FE3B2D"/>
    <w:rsid w:val="23B12BCF"/>
    <w:rsid w:val="3ABE6EBA"/>
    <w:rsid w:val="55449330"/>
    <w:rsid w:val="604F298C"/>
    <w:rsid w:val="6893411A"/>
    <w:rsid w:val="7908EA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76023"/>
  <w15:chartTrackingRefBased/>
  <w15:docId w15:val="{96AA00F1-297C-D64F-9517-0106644E9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51E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51E40"/>
    <w:pPr>
      <w:tabs>
        <w:tab w:val="center" w:pos="4680"/>
        <w:tab w:val="right" w:pos="9360"/>
      </w:tabs>
    </w:pPr>
  </w:style>
  <w:style w:type="character" w:customStyle="1" w:styleId="HeaderChar">
    <w:name w:val="Header Char"/>
    <w:basedOn w:val="DefaultParagraphFont"/>
    <w:link w:val="Header"/>
    <w:uiPriority w:val="99"/>
    <w:rsid w:val="00251E40"/>
  </w:style>
  <w:style w:type="paragraph" w:styleId="Footer">
    <w:name w:val="footer"/>
    <w:basedOn w:val="Normal"/>
    <w:link w:val="FooterChar"/>
    <w:uiPriority w:val="99"/>
    <w:unhideWhenUsed/>
    <w:rsid w:val="00251E40"/>
    <w:pPr>
      <w:tabs>
        <w:tab w:val="center" w:pos="4680"/>
        <w:tab w:val="right" w:pos="9360"/>
      </w:tabs>
    </w:pPr>
  </w:style>
  <w:style w:type="character" w:customStyle="1" w:styleId="FooterChar">
    <w:name w:val="Footer Char"/>
    <w:basedOn w:val="DefaultParagraphFont"/>
    <w:link w:val="Footer"/>
    <w:uiPriority w:val="99"/>
    <w:rsid w:val="00251E40"/>
  </w:style>
  <w:style w:type="paragraph" w:styleId="ListParagraph">
    <w:name w:val="List Paragraph"/>
    <w:basedOn w:val="Normal"/>
    <w:uiPriority w:val="34"/>
    <w:qFormat/>
    <w:rsid w:val="00282474"/>
    <w:pPr>
      <w:ind w:left="720"/>
      <w:contextualSpacing/>
    </w:pPr>
  </w:style>
  <w:style w:type="character" w:customStyle="1" w:styleId="normaltextrun">
    <w:name w:val="normaltextrun"/>
    <w:basedOn w:val="DefaultParagraphFont"/>
    <w:rsid w:val="002F2FE2"/>
  </w:style>
  <w:style w:type="character" w:customStyle="1" w:styleId="eop">
    <w:name w:val="eop"/>
    <w:basedOn w:val="DefaultParagraphFont"/>
    <w:rsid w:val="002F2FE2"/>
  </w:style>
  <w:style w:type="character" w:styleId="Hyperlink">
    <w:name w:val="Hyperlink"/>
    <w:basedOn w:val="DefaultParagraphFont"/>
    <w:uiPriority w:val="99"/>
    <w:semiHidden/>
    <w:unhideWhenUsed/>
    <w:rsid w:val="00452B4A"/>
    <w:rPr>
      <w:color w:val="0000FF"/>
      <w:u w:val="single"/>
    </w:rPr>
  </w:style>
  <w:style w:type="character" w:styleId="CommentReference">
    <w:name w:val="annotation reference"/>
    <w:basedOn w:val="DefaultParagraphFont"/>
    <w:uiPriority w:val="99"/>
    <w:semiHidden/>
    <w:unhideWhenUsed/>
    <w:rsid w:val="003F0F0B"/>
    <w:rPr>
      <w:sz w:val="16"/>
      <w:szCs w:val="16"/>
    </w:rPr>
  </w:style>
  <w:style w:type="paragraph" w:styleId="CommentText">
    <w:name w:val="annotation text"/>
    <w:basedOn w:val="Normal"/>
    <w:link w:val="CommentTextChar"/>
    <w:uiPriority w:val="99"/>
    <w:semiHidden/>
    <w:unhideWhenUsed/>
    <w:rsid w:val="003F0F0B"/>
    <w:rPr>
      <w:sz w:val="20"/>
      <w:szCs w:val="20"/>
    </w:rPr>
  </w:style>
  <w:style w:type="character" w:customStyle="1" w:styleId="CommentTextChar">
    <w:name w:val="Comment Text Char"/>
    <w:basedOn w:val="DefaultParagraphFont"/>
    <w:link w:val="CommentText"/>
    <w:uiPriority w:val="99"/>
    <w:semiHidden/>
    <w:rsid w:val="003F0F0B"/>
    <w:rPr>
      <w:sz w:val="20"/>
      <w:szCs w:val="20"/>
    </w:rPr>
  </w:style>
  <w:style w:type="paragraph" w:styleId="CommentSubject">
    <w:name w:val="annotation subject"/>
    <w:basedOn w:val="CommentText"/>
    <w:next w:val="CommentText"/>
    <w:link w:val="CommentSubjectChar"/>
    <w:uiPriority w:val="99"/>
    <w:semiHidden/>
    <w:unhideWhenUsed/>
    <w:rsid w:val="003F0F0B"/>
    <w:rPr>
      <w:b/>
      <w:bCs/>
    </w:rPr>
  </w:style>
  <w:style w:type="character" w:customStyle="1" w:styleId="CommentSubjectChar">
    <w:name w:val="Comment Subject Char"/>
    <w:basedOn w:val="CommentTextChar"/>
    <w:link w:val="CommentSubject"/>
    <w:uiPriority w:val="99"/>
    <w:semiHidden/>
    <w:rsid w:val="003F0F0B"/>
    <w:rPr>
      <w:b/>
      <w:bCs/>
      <w:sz w:val="20"/>
      <w:szCs w:val="20"/>
    </w:rPr>
  </w:style>
  <w:style w:type="paragraph" w:styleId="BalloonText">
    <w:name w:val="Balloon Text"/>
    <w:basedOn w:val="Normal"/>
    <w:link w:val="BalloonTextChar"/>
    <w:uiPriority w:val="99"/>
    <w:semiHidden/>
    <w:unhideWhenUsed/>
    <w:rsid w:val="003F0F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0F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2751816">
      <w:bodyDiv w:val="1"/>
      <w:marLeft w:val="0"/>
      <w:marRight w:val="0"/>
      <w:marTop w:val="0"/>
      <w:marBottom w:val="0"/>
      <w:divBdr>
        <w:top w:val="none" w:sz="0" w:space="0" w:color="auto"/>
        <w:left w:val="none" w:sz="0" w:space="0" w:color="auto"/>
        <w:bottom w:val="none" w:sz="0" w:space="0" w:color="auto"/>
        <w:right w:val="none" w:sz="0" w:space="0" w:color="auto"/>
      </w:divBdr>
    </w:div>
    <w:div w:id="1080518761">
      <w:bodyDiv w:val="1"/>
      <w:marLeft w:val="0"/>
      <w:marRight w:val="0"/>
      <w:marTop w:val="0"/>
      <w:marBottom w:val="0"/>
      <w:divBdr>
        <w:top w:val="none" w:sz="0" w:space="0" w:color="auto"/>
        <w:left w:val="none" w:sz="0" w:space="0" w:color="auto"/>
        <w:bottom w:val="none" w:sz="0" w:space="0" w:color="auto"/>
        <w:right w:val="none" w:sz="0" w:space="0" w:color="auto"/>
      </w:divBdr>
    </w:div>
    <w:div w:id="1158765708">
      <w:bodyDiv w:val="1"/>
      <w:marLeft w:val="0"/>
      <w:marRight w:val="0"/>
      <w:marTop w:val="0"/>
      <w:marBottom w:val="0"/>
      <w:divBdr>
        <w:top w:val="none" w:sz="0" w:space="0" w:color="auto"/>
        <w:left w:val="none" w:sz="0" w:space="0" w:color="auto"/>
        <w:bottom w:val="none" w:sz="0" w:space="0" w:color="auto"/>
        <w:right w:val="none" w:sz="0" w:space="0" w:color="auto"/>
      </w:divBdr>
    </w:div>
    <w:div w:id="1604799268">
      <w:bodyDiv w:val="1"/>
      <w:marLeft w:val="0"/>
      <w:marRight w:val="0"/>
      <w:marTop w:val="0"/>
      <w:marBottom w:val="0"/>
      <w:divBdr>
        <w:top w:val="none" w:sz="0" w:space="0" w:color="auto"/>
        <w:left w:val="none" w:sz="0" w:space="0" w:color="auto"/>
        <w:bottom w:val="none" w:sz="0" w:space="0" w:color="auto"/>
        <w:right w:val="none" w:sz="0" w:space="0" w:color="auto"/>
      </w:divBdr>
      <w:divsChild>
        <w:div w:id="672759172">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s>
</file>

<file path=word/_rels/footer1.xml.rels><?xml version="1.0" encoding="UTF-8" standalone="yes"?>
<Relationships xmlns="http://schemas.openxmlformats.org/package/2006/relationships"><Relationship Id="rId2" Type="http://schemas.openxmlformats.org/officeDocument/2006/relationships/hyperlink" Target="https://nam01.safelinks.protection.outlook.com/?url=http%3A%2F%2Fcreativecommons.org%2Flicenses%2Fby-nc-nd%2F4.0%2F&amp;data=04%7C01%7Cshirt%40air.org%7Ca3de069590c04069570c08d881be88c8%7C9ea45dbc7b724abfa77cc770a0a8b962%7C0%7C0%7C637402002639790241%7CUnknown%7CTWFpbGZsb3d8eyJWIjoiMC4wLjAwMDAiLCJQIjoiV2luMzIiLCJBTiI6Ik1haWwiLCJXVCI6Mn0%3D%7C0&amp;sdata=9fe%2Bk%2FCgIkEVjvS%2B5LZpOhG2r8uLiZfw8v8t7GcgTLY%3D&amp;reserved=0" TargetMode="External"/><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E09AAF93E4A314289016A756E8EB084" ma:contentTypeVersion="13" ma:contentTypeDescription="Create a new document." ma:contentTypeScope="" ma:versionID="de78bb7d992b6ff573e2cd0f9ecf913b">
  <xsd:schema xmlns:xsd="http://www.w3.org/2001/XMLSchema" xmlns:xs="http://www.w3.org/2001/XMLSchema" xmlns:p="http://schemas.microsoft.com/office/2006/metadata/properties" xmlns:ns3="f0b304f0-ad02-4eac-8283-70efed731fef" xmlns:ns4="3c5c60b2-3caa-4e72-965a-8b00581bbc6e" targetNamespace="http://schemas.microsoft.com/office/2006/metadata/properties" ma:root="true" ma:fieldsID="88524c6ad5e52dc97cadcf7d823351a4" ns3:_="" ns4:_="">
    <xsd:import namespace="f0b304f0-ad02-4eac-8283-70efed731fef"/>
    <xsd:import namespace="3c5c60b2-3caa-4e72-965a-8b00581bbc6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b304f0-ad02-4eac-8283-70efed731fe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5c60b2-3caa-4e72-965a-8b00581bbc6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35AC5D-5C09-432F-96C6-3DF7EA1A49AC}">
  <ds:schemaRefs>
    <ds:schemaRef ds:uri="http://schemas.microsoft.com/office/2006/documentManagement/types"/>
    <ds:schemaRef ds:uri="f0b304f0-ad02-4eac-8283-70efed731fef"/>
    <ds:schemaRef ds:uri="http://purl.org/dc/elements/1.1/"/>
    <ds:schemaRef ds:uri="http://schemas.microsoft.com/office/2006/metadata/properties"/>
    <ds:schemaRef ds:uri="3c5c60b2-3caa-4e72-965a-8b00581bbc6e"/>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EED07192-95CE-4999-8F38-8EF3BD0A75FE}">
  <ds:schemaRefs>
    <ds:schemaRef ds:uri="http://schemas.microsoft.com/sharepoint/v3/contenttype/forms"/>
  </ds:schemaRefs>
</ds:datastoreItem>
</file>

<file path=customXml/itemProps3.xml><?xml version="1.0" encoding="utf-8"?>
<ds:datastoreItem xmlns:ds="http://schemas.openxmlformats.org/officeDocument/2006/customXml" ds:itemID="{97D828DE-B136-4C37-8E6B-9F27CCE19E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b304f0-ad02-4eac-8283-70efed731fef"/>
    <ds:schemaRef ds:uri="3c5c60b2-3caa-4e72-965a-8b00581bbc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663</Words>
  <Characters>3781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Mota, Alain</dc:creator>
  <cp:keywords/>
  <dc:description/>
  <cp:lastModifiedBy>Laible, Elizabeth</cp:lastModifiedBy>
  <cp:revision>2</cp:revision>
  <dcterms:created xsi:type="dcterms:W3CDTF">2020-11-18T17:46:00Z</dcterms:created>
  <dcterms:modified xsi:type="dcterms:W3CDTF">2020-11-18T17:46:00Z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0x0101002E09AAF93E4A314289016A756E8EB084</vt:lpwstr>
  </property>
</Properties>
</file>